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 ou un numéro RPPS.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parameterTime</w:t>
            </w:r>
          </w:p>
        </w:tc>
        <w:tc>
          <w:tcPr>
            <w:tcW w:type="dxa" w:w="1984"/>
          </w:tcPr>
          <w:p>
            <w:r>
              <w:t>Date et heure de la prise des constantes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parameterDetail</w:t>
            </w:r>
          </w:p>
        </w:tc>
        <w:tc>
          <w:tcPr>
            <w:tcW w:type="dxa" w:w="1984"/>
          </w:tcPr>
          <w:p>
            <w:r>
              <w:t>Détails des paramètres vitaux</w:t>
            </w:r>
          </w:p>
        </w:tc>
        <w:tc>
          <w:tcPr>
            <w:tcW w:type="dxa" w:w="1134"/>
          </w:tcPr>
          <w:p>
            <w:r>
              <w:t>cf. type parameterDetail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parameterDetail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Fréquence cardiaque, Pression artérielle, Saturation en oxygène, Fréquence respiratoire, Température, Hemoglucotest, Glasgow, Hémoglobine ?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constante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