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^fr(\.[\w-]+){2,3}$)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generalPractitioner</w:t>
            </w:r>
          </w:p>
        </w:tc>
        <w:tc>
          <w:tcPr>
            <w:tcW w:type="dxa" w:w="1984"/>
          </w:tcPr>
          <w:p>
            <w:r>
              <w:t xml:space="preserve">Médecin traitant </w:t>
            </w:r>
          </w:p>
        </w:tc>
        <w:tc>
          <w:tcPr>
            <w:tcW w:type="dxa" w:w="1134"/>
          </w:tcPr>
          <w:p>
            <w:r>
              <w:t>cf. type generalPractitioner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generalPractitioner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médecin traitant du patient si connu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RPPS du médecin traitant</w:t>
            </w:r>
          </w:p>
        </w:tc>
        <w:tc>
          <w:tcPr>
            <w:tcW w:type="dxa" w:w="1701"/>
          </w:tcPr>
          <w:p>
            <w:r>
              <w:t>10000668540</w:t>
            </w:r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 médecin</w:t>
            </w:r>
          </w:p>
        </w:tc>
        <w:tc>
          <w:tcPr>
            <w:tcW w:type="dxa" w:w="1134"/>
          </w:tcPr>
          <w:p>
            <w:r>
              <w:t>cf. type personalContact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Type et valeur des URI utilisées par le patient concerné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personalContact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NOS-NOMENC_SEXE)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