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^fr(\.[\w-]+){2,3}$)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healthMotive</w:t>
            </w:r>
          </w:p>
        </w:tc>
        <w:tc>
          <w:tcPr>
            <w:tcW w:type="dxa" w:w="1984"/>
          </w:tcPr>
          <w:p>
            <w:r>
              <w:t>Motif de recours médico-secouriste</w:t>
            </w:r>
          </w:p>
        </w:tc>
        <w:tc>
          <w:tcPr>
            <w:tcW w:type="dxa" w:w="1134"/>
          </w:tcPr>
          <w:p>
            <w:r>
              <w:t>cf. type healthMotive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motif de recours médico-secouriste associé spécifiquement à un patient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idPat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idObs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SI-SAMU-TYPEDEC)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SI-SAMU-TYPE_MOYEN)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souhaité / demandé (cf.nomenclature associée)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AR, VLM, VSAV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ENUM-TYPE_Destination)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CISU-Code_Risque-Menace-Sensibilité)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ENUM-Etats_Dossier)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ENUM-SOURCE_Loc)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ENUM-TYPE_Objet_Sys)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healthMotive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CISU-Code_Motif_patient-victime)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SI-SAMU-GRAVITE)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ENUM-TYPE_Id_Patient)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NOS-NOMENC_SEXE)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ENUM-ROLE)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