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peremt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patientStatus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devenir du patient (cf. nomenclature associée)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décisions de transport et/ou d'orientation</w:t>
            </w:r>
          </w:p>
        </w:tc>
        <w:tc>
          <w:tcPr>
            <w:tcW w:type="dxa" w:w="1134"/>
          </w:tcPr>
          <w:p>
            <w:r>
              <w:t>cf. type decisionDetails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détailler la décision prise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 chaque CRRA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decisionDetails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ressource souhaité / demandé (cf.nomenclature associée)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prise en charge souhaité (cf.nomenclature associée)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détailler la destination du vecteur de transport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(cf. nomenclature associée)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