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^([a-zA-Z0-9_-]+\.){3,4}patient(\.[a-zA-Z0-9_-]+){1,2}$)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^([a-zA-Z0-9_-]+\.){3,4}medicalNote(\.[a-zA-Z0-9_-]+){1,2}$)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