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Mesures prises par le Samu-Centre 15 en réponse à la demande exprimée en fonction de l’événement et de la situation du ou des patients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 partagé du patient concerné par la décision, lorsque le patient existe et est identifié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décision prise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decider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decider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engagementDetails</w:t>
            </w:r>
          </w:p>
        </w:tc>
        <w:tc>
          <w:tcPr>
            <w:tcW w:type="dxa" w:w="1984"/>
          </w:tcPr>
          <w:p>
            <w:r>
              <w:t>Détails décision d'intervention</w:t>
            </w:r>
          </w:p>
        </w:tc>
        <w:tc>
          <w:tcPr>
            <w:tcW w:type="dxa" w:w="1134"/>
          </w:tcPr>
          <w:p>
            <w:r>
              <w:t>cf. type engagementDetails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Partage de l'équipe à engager sur le lieu de l'intervention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transportDetails</w:t>
            </w:r>
          </w:p>
        </w:tc>
        <w:tc>
          <w:tcPr>
            <w:tcW w:type="dxa" w:w="1984"/>
          </w:tcPr>
          <w:p>
            <w:r>
              <w:t>Détails décision de transport/orientation</w:t>
            </w:r>
          </w:p>
        </w:tc>
        <w:tc>
          <w:tcPr>
            <w:tcW w:type="dxa" w:w="1134"/>
          </w:tcPr>
          <w:p>
            <w:r>
              <w:t>cf. type transportDetails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decider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Rôle de l'opérateur au sein de l'entité émettrice du message</w:t>
            </w:r>
          </w:p>
        </w:tc>
        <w:tc>
          <w:tcPr>
            <w:tcW w:type="dxa" w:w="1701"/>
          </w:tcPr>
          <w:p>
            <w:r>
              <w:t>ARM, Medecin régulateur…</w:t>
            </w:r>
          </w:p>
        </w:tc>
      </w:tr>
    </w:tbl>
    <w:p>
      <w:pPr>
        <w:pStyle w:val="Heading1"/>
      </w:pPr>
      <w:r>
        <w:t>engagementDetails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détaille le moyen à engager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détaille le type de vecteur à engager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concoursRequest</w:t>
            </w:r>
          </w:p>
        </w:tc>
        <w:tc>
          <w:tcPr>
            <w:tcW w:type="dxa" w:w="1984"/>
          </w:tcPr>
          <w:p>
            <w:r>
              <w:t>ID demande de concours/de ressources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de la ou des demandes de concours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vecteur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teamCareInitial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non médicale, standard, incomplete, ...)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</w:tbl>
    <w:p>
      <w:pPr>
        <w:pStyle w:val="Heading1"/>
      </w:pPr>
      <w:r>
        <w:t>transportDetails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Décision(s) d'orientation prise par le médecin régulateur : </w:t>
              <w:br/>
              <w:t>- A transporter</w:t>
              <w:br/>
              <w:t>- Laisser sur place</w:t>
            </w:r>
          </w:p>
        </w:tc>
        <w:tc>
          <w:tcPr>
            <w:tcW w:type="dxa" w:w="1701"/>
          </w:tcPr>
          <w:p>
            <w:r>
              <w:t>laissé sur place, décédé, ou transporté</w:t>
            </w:r>
          </w:p>
        </w:tc>
      </w:tr>
      <w:tr>
        <w:tc>
          <w:tcPr>
            <w:tcW w:type="dxa" w:w="1701"/>
          </w:tcPr>
          <w:p>
            <w:r>
              <w:t>concoursRequest</w:t>
            </w:r>
          </w:p>
        </w:tc>
        <w:tc>
          <w:tcPr>
            <w:tcW w:type="dxa" w:w="1984"/>
          </w:tcPr>
          <w:p>
            <w:r>
              <w:t>ID demande de concours/de ressources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de la ou des demandes de concours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vecteur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du véhicule terrestre / aérien / maritime de transport principal (= celui dans lequel se trouve le patient), permettant d'associer la décision à un véhicule spécifique + au patient.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non médicale, standard, incomplete, ...)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de la ressource : service d’urgences d’un Etablissement de santé, autres services d’un établissement de santé, cabinet d’un professionnel de santé, domicile personnel, EPHAD ou long séjour, autre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