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cf. cycle SI SAMU uniquement (si applicable) : échanger l'état du dossier si le cycle de vie du dossier est implémenté de manière conforme au cycle de vie du dossier SI-SAMU</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 xml:space="preserve">médecin urgentiste </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w:t>
            </w:r>
          </w:p>
        </w:tc>
        <w:tc>
          <w:tcPr>
            <w:tcW w:type="dxa" w:w="1417"/>
          </w:tcPr>
          <w:p>
            <w:r>
              <w:t>0..1</w:t>
            </w:r>
          </w:p>
        </w:tc>
        <w:tc>
          <w:tcPr>
            <w:tcW w:type="dxa" w:w="4535"/>
          </w:tcPr>
          <w:p>
            <w:r>
              <w:t>Age du patient (Norme ISO_8601)</w:t>
            </w:r>
          </w:p>
        </w:tc>
        <w:tc>
          <w:tcPr>
            <w:tcW w:type="dxa" w:w="1701"/>
          </w:tcPr>
          <w:p>
            <w:r>
              <w:t>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