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Nature de fait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Localisation de la destination d'orientation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 en cas de décision d'orientation.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HubSante.risque)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HubSante.motif)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HubSante.attribution)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HubSante.idLieu)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A valoriser avec le nom de l'entrée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^\+\d{5,18}$)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HubSante.langue)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HubSante.typeAppelant)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HubSante.communication)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