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 partagé du patient concerné, lorsque le patient existe et est identifié dans le système emetteur, valorisé comme suit pour un CRRA : </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Identifiant unique de l'observation, valorisé comme suit : {caseID}.medicalNote.{ID unique de l'observation dans le système émetteur}</w:t>
              <w:br/>
            </w:r>
          </w:p>
        </w:tc>
        <w:tc>
          <w:tcPr>
            <w:tcW w:type="dxa" w:w="1701"/>
          </w:tcPr>
          <w:p>
            <w:r>
              <w:t>fr.health.samu540.DRFR15DDXAAJJJ00001.medicalNote.46585A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par patient, on indique ici le niveau le plus grave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Précise si les coordonnées fournies proviennent du dispositif AML (Advanced Mobile Location) -TRUE - ou non - FALSE. </w:t>
            </w:r>
          </w:p>
        </w:tc>
        <w:tc>
          <w:tcPr>
            <w:tcW w:type="dxa" w:w="1701"/>
          </w:tcPr>
          <w:p>
            <w:r>
              <w:t>TRUE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Longitude du point clé de la localisation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