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Observations médicales</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 dans le système emetteur</w:t>
              <w:br/>
              <w:t>{ID du dossier partagé}.P{numéro d’ordre chronologique unique du patient}</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1..1</w:t>
            </w:r>
          </w:p>
        </w:tc>
        <w:tc>
          <w:tcPr>
            <w:tcW w:type="dxa" w:w="4535"/>
          </w:tcPr>
          <w:p>
            <w:r>
              <w:t xml:space="preserve">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1..1</w:t>
            </w:r>
          </w:p>
        </w:tc>
        <w:tc>
          <w:tcPr>
            <w:tcW w:type="dxa" w:w="4535"/>
          </w:tcPr>
          <w:p>
            <w:r>
              <w:t>{ID du dossier partagé}.N.{id unique de la note}</w:t>
              <w:br/>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0..1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ARM, MEDECIN,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