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decider</w:t>
            </w:r>
          </w:p>
        </w:tc>
        <w:tc>
          <w:tcPr>
            <w:tcW w:type="dxa" w:w="1984"/>
          </w:tcPr>
          <w:p>
            <w:r>
              <w:t>Opérateur décideur</w:t>
            </w:r>
          </w:p>
        </w:tc>
        <w:tc>
          <w:tcPr>
            <w:tcW w:type="dxa" w:w="1134"/>
          </w:tcPr>
          <w:p>
            <w:r>
              <w:t>cf. type decider</w:t>
            </w:r>
          </w:p>
        </w:tc>
        <w:tc>
          <w:tcPr>
            <w:tcW w:type="dxa" w:w="1417"/>
          </w:tcPr>
          <w:p>
            <w:r>
              <w:t>0..1</w:t>
            </w:r>
          </w:p>
        </w:tc>
        <w:tc>
          <w:tcPr>
            <w:tcW w:type="dxa" w:w="4535"/>
          </w:tcPr>
          <w:p>
            <w:r/>
          </w:p>
        </w:tc>
        <w:tc>
          <w:tcPr>
            <w:tcW w:type="dxa" w:w="1701"/>
          </w:tcPr>
          <w:p>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decider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