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br/>
              <w:t>(nan)</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transportationID</w:t>
            </w:r>
          </w:p>
        </w:tc>
        <w:tc>
          <w:tcPr>
            <w:tcW w:type="dxa" w:w="1984"/>
          </w:tcPr>
          <w:p>
            <w:r>
              <w:t>ID transport partagé</w:t>
            </w:r>
          </w:p>
        </w:tc>
        <w:tc>
          <w:tcPr>
            <w:tcW w:type="dxa" w:w="1134"/>
          </w:tcPr>
          <w:p>
            <w:r>
              <w:t>string</w:t>
            </w:r>
          </w:p>
        </w:tc>
        <w:tc>
          <w:tcPr>
            <w:tcW w:type="dxa" w:w="1417"/>
          </w:tcPr>
          <w:p>
            <w:r>
              <w:t>0..1</w:t>
            </w:r>
          </w:p>
        </w:tc>
        <w:tc>
          <w:tcPr>
            <w:tcW w:type="dxa" w:w="4535"/>
          </w:tcPr>
          <w:p>
            <w:r>
              <w:t>Identifiant du vecteur de transport principal (= celui dans lequel se trouve le patient), permettant d'associer la décision à un véhicule spécifique + au patient.</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(nan)</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(nan)</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(nan)</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