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responsabilité du traitement d'un dossier à un autre CRAA / à lui demander de prendre en charge le traitement du dossier.</w:t>
              <w:br/>
              <w:t>Le SAMU demandeur entre dans ce champ l'ID du CRAA à qui il demande de traiter l'affaire (uniquement en cas de transfert intégral du traitement d'un dossier).</w:t>
              <w:br/>
              <w:t>Le SAMU qui reçoit la demande de transfert et l'accepte renvoie un RC-EDA de mise à jour en laissant son ID dans ce champ + en ajoutant l'ID local du dossier chez lui dans le message.</w:t>
              <w:br/>
              <w:t>Le SAMU qui reçoit la demande de transfert et la refuse renvoie un RC-EDA de mise à jour en remettant l'ID du SAMU demandeur dans ce champ + il envoie l'ID local du dossier chez lui.</w:t>
            </w:r>
          </w:p>
        </w:tc>
        <w:tc>
          <w:tcPr>
            <w:tcW w:type="dxa" w:w="1701"/>
          </w:tcPr>
          <w:p>
            <w:r>
              <w:t>fr.health.samu440</w:t>
            </w:r>
          </w:p>
        </w:tc>
      </w:tr>
      <w:tr>
        <w:tc>
          <w:tcPr>
            <w:tcW w:type="dxa" w:w="1701"/>
          </w:tcPr>
          <w:p>
            <w:r>
              <w:t>operator</w:t>
            </w:r>
          </w:p>
        </w:tc>
        <w:tc>
          <w:tcPr>
            <w:tcW w:type="dxa" w:w="1984"/>
          </w:tcPr>
          <w:p>
            <w:r>
              <w:t>Opérateurs impliqués</w:t>
            </w:r>
          </w:p>
        </w:tc>
        <w:tc>
          <w:tcPr>
            <w:tcW w:type="dxa" w:w="1134"/>
          </w:tcPr>
          <w:p>
            <w:r>
              <w:t>cf. type operator</w:t>
            </w:r>
          </w:p>
        </w:tc>
        <w:tc>
          <w:tcPr>
            <w:tcW w:type="dxa" w:w="1417"/>
          </w:tcPr>
          <w:p>
            <w:r>
              <w:t>0..n</w:t>
            </w:r>
          </w:p>
        </w:tc>
        <w:tc>
          <w:tcPr>
            <w:tcW w:type="dxa" w:w="4535"/>
          </w:tcPr>
          <w:p>
            <w:r>
              <w:t>Si pertinent et si le SAMU émetteur souhaite partager les opérateurs spécifiques à contacter chez lui (ARM Référent, Médecin référent, etc) pour le traitement d'un dossier.</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Interrogatoire médical</w:t>
            </w:r>
          </w:p>
        </w:tc>
        <w:tc>
          <w:tcPr>
            <w:tcW w:type="dxa" w:w="1134"/>
          </w:tcPr>
          <w:p>
            <w:r>
              <w:t>cf. type medicalNote</w:t>
            </w:r>
          </w:p>
        </w:tc>
        <w:tc>
          <w:tcPr>
            <w:tcW w:type="dxa" w:w="1417"/>
          </w:tcPr>
          <w:p>
            <w:r>
              <w:t>0..n</w:t>
            </w:r>
          </w:p>
        </w:tc>
        <w:tc>
          <w:tcPr>
            <w:tcW w:type="dxa" w:w="4535"/>
          </w:tcPr>
          <w:p>
            <w:r>
              <w:t>Interrogatoire médical. Aussi appelé note de régulation médicale.</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id</w:t>
            </w:r>
          </w:p>
        </w:tc>
        <w:tc>
          <w:tcPr>
            <w:tcW w:type="dxa" w:w="1984"/>
          </w:tcPr>
          <w:p>
            <w:r>
              <w:t>ID</w:t>
            </w:r>
          </w:p>
        </w:tc>
        <w:tc>
          <w:tcPr>
            <w:tcW w:type="dxa" w:w="1134"/>
          </w:tcPr>
          <w:p>
            <w:r>
              <w:t>string</w:t>
            </w:r>
          </w:p>
        </w:tc>
        <w:tc>
          <w:tcPr>
            <w:tcW w:type="dxa" w:w="1417"/>
          </w:tcPr>
          <w:p>
            <w:r>
              <w:t>0..1</w:t>
            </w:r>
          </w:p>
        </w:tc>
        <w:tc>
          <w:tcPr>
            <w:tcW w:type="dxa" w:w="4535"/>
          </w:tcPr>
          <w:p>
            <w:r>
              <w:t>Identifiant professionnel de l'opérateur si existant</w:t>
            </w:r>
          </w:p>
        </w:tc>
        <w:tc>
          <w:tcPr>
            <w:tcW w:type="dxa" w:w="1701"/>
          </w:tcPr>
          <w:p>
            <w:r/>
          </w:p>
        </w:tc>
      </w:tr>
      <w:tr>
        <w:tc>
          <w:tcPr>
            <w:tcW w:type="dxa" w:w="1701"/>
          </w:tcPr>
          <w:p>
            <w:r>
              <w:t>role</w:t>
            </w:r>
          </w:p>
        </w:tc>
        <w:tc>
          <w:tcPr>
            <w:tcW w:type="dxa" w:w="1984"/>
          </w:tcPr>
          <w:p>
            <w:r>
              <w:t>Rôle</w:t>
            </w:r>
          </w:p>
        </w:tc>
        <w:tc>
          <w:tcPr>
            <w:tcW w:type="dxa" w:w="1134"/>
          </w:tcPr>
          <w:p>
            <w:r>
              <w:t>string</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file</w:t>
            </w:r>
          </w:p>
        </w:tc>
        <w:tc>
          <w:tcPr>
            <w:tcW w:type="dxa" w:w="1984"/>
          </w:tcPr>
          <w:p>
            <w:r>
              <w:t>Dossier administratif</w:t>
            </w:r>
          </w:p>
        </w:tc>
        <w:tc>
          <w:tcPr>
            <w:tcW w:type="dxa" w:w="1134"/>
          </w:tcPr>
          <w:p>
            <w:r>
              <w:t>cf. type 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resourceDiagnosis</w:t>
            </w:r>
          </w:p>
        </w:tc>
        <w:tc>
          <w:tcPr>
            <w:tcW w:type="dxa" w:w="1984"/>
          </w:tcPr>
          <w:p>
            <w:r>
              <w:t>Diagnostic de l'effecteur</w:t>
            </w:r>
          </w:p>
        </w:tc>
        <w:tc>
          <w:tcPr>
            <w:tcW w:type="dxa" w:w="1134"/>
          </w:tcPr>
          <w:p>
            <w:r>
              <w:t>cf. type resourceDiagnosis</w:t>
              <w:br/>
              <w:t>(nan)</w:t>
            </w:r>
          </w:p>
        </w:tc>
        <w:tc>
          <w:tcPr>
            <w:tcW w:type="dxa" w:w="1417"/>
          </w:tcPr>
          <w:p>
            <w:r>
              <w:t>0..1</w:t>
            </w:r>
          </w:p>
        </w:tc>
        <w:tc>
          <w:tcPr>
            <w:tcW w:type="dxa" w:w="4535"/>
          </w:tcPr>
          <w:p>
            <w:r>
              <w:t>Diagnostic posé par le médecin effecteur qui se trouve sur les lieux de l'affaire, ou diagnostic par le médecin régulateur après avoir reçu le retour de l'effecteur</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br/>
              <w:t>(Format datetime décrit dans le DSF)</w:t>
            </w:r>
          </w:p>
        </w:tc>
        <w:tc>
          <w:tcPr>
            <w:tcW w:type="dxa" w:w="1417"/>
          </w:tcPr>
          <w:p>
            <w:r>
              <w:t>1..1</w:t>
            </w:r>
          </w:p>
        </w:tc>
        <w:tc>
          <w:tcPr>
            <w:tcW w:type="dxa" w:w="4535"/>
          </w:tcPr>
          <w:p>
            <w:r>
              <w:t>Groupe date heure de création de l'interrogatoire.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r>
        <w:tc>
          <w:tcPr>
            <w:tcW w:type="dxa" w:w="1701"/>
          </w:tcPr>
          <w:p>
            <w:r>
              <w:t>medicalHistory</w:t>
            </w:r>
          </w:p>
        </w:tc>
        <w:tc>
          <w:tcPr>
            <w:tcW w:type="dxa" w:w="1984"/>
          </w:tcPr>
          <w:p>
            <w:r>
              <w:t>Antécédents</w:t>
            </w:r>
          </w:p>
        </w:tc>
        <w:tc>
          <w:tcPr>
            <w:tcW w:type="dxa" w:w="1134"/>
          </w:tcPr>
          <w:p>
            <w:r>
              <w:t>string</w:t>
            </w:r>
          </w:p>
        </w:tc>
        <w:tc>
          <w:tcPr>
            <w:tcW w:type="dxa" w:w="1417"/>
          </w:tcPr>
          <w:p>
            <w:r>
              <w:t>0..1</w:t>
            </w:r>
          </w:p>
        </w:tc>
        <w:tc>
          <w:tcPr>
            <w:tcW w:type="dxa" w:w="4535"/>
          </w:tcPr>
          <w:p>
            <w:r>
              <w:t>Texte libre  pour décrire les antécédents du patient</w:t>
            </w:r>
          </w:p>
        </w:tc>
        <w:tc>
          <w:tcPr>
            <w:tcW w:type="dxa" w:w="1701"/>
          </w:tcPr>
          <w:p>
            <w:r/>
          </w:p>
        </w:tc>
      </w:tr>
      <w:tr>
        <w:tc>
          <w:tcPr>
            <w:tcW w:type="dxa" w:w="1701"/>
          </w:tcPr>
          <w:p>
            <w:r>
              <w:t>treatments</w:t>
            </w:r>
          </w:p>
        </w:tc>
        <w:tc>
          <w:tcPr>
            <w:tcW w:type="dxa" w:w="1984"/>
          </w:tcPr>
          <w:p>
            <w:r>
              <w:t>Traitements</w:t>
            </w:r>
          </w:p>
        </w:tc>
        <w:tc>
          <w:tcPr>
            <w:tcW w:type="dxa" w:w="1134"/>
          </w:tcPr>
          <w:p>
            <w:r>
              <w:t>string</w:t>
            </w:r>
          </w:p>
        </w:tc>
        <w:tc>
          <w:tcPr>
            <w:tcW w:type="dxa" w:w="1417"/>
          </w:tcPr>
          <w:p>
            <w:r>
              <w:t>0..1</w:t>
            </w:r>
          </w:p>
        </w:tc>
        <w:tc>
          <w:tcPr>
            <w:tcW w:type="dxa" w:w="4535"/>
          </w:tcPr>
          <w:p>
            <w:r>
              <w:t>Texte libre  pour décrire les traitements du patient</w:t>
            </w:r>
          </w:p>
        </w:tc>
        <w:tc>
          <w:tcPr>
            <w:tcW w:type="dxa" w:w="1701"/>
          </w:tcPr>
          <w:p>
            <w:r/>
          </w:p>
        </w:tc>
      </w:tr>
      <w:tr>
        <w:tc>
          <w:tcPr>
            <w:tcW w:type="dxa" w:w="1701"/>
          </w:tcPr>
          <w:p>
            <w:r>
              <w:t>allergies</w:t>
            </w:r>
          </w:p>
        </w:tc>
        <w:tc>
          <w:tcPr>
            <w:tcW w:type="dxa" w:w="1984"/>
          </w:tcPr>
          <w:p>
            <w:r>
              <w:t>Allergies</w:t>
            </w:r>
          </w:p>
        </w:tc>
        <w:tc>
          <w:tcPr>
            <w:tcW w:type="dxa" w:w="1134"/>
          </w:tcPr>
          <w:p>
            <w:r>
              <w:t>string</w:t>
            </w:r>
          </w:p>
        </w:tc>
        <w:tc>
          <w:tcPr>
            <w:tcW w:type="dxa" w:w="1417"/>
          </w:tcPr>
          <w:p>
            <w:r>
              <w:t>0..1</w:t>
            </w:r>
          </w:p>
        </w:tc>
        <w:tc>
          <w:tcPr>
            <w:tcW w:type="dxa" w:w="4535"/>
          </w:tcPr>
          <w:p>
            <w:r>
              <w:t>Texte libre pour décrire les allergies du patient</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Type d'orientation</w:t>
            </w:r>
          </w:p>
        </w:tc>
        <w:tc>
          <w:tcPr>
            <w:tcW w:type="dxa" w:w="1134"/>
          </w:tcPr>
          <w:p>
            <w:r>
              <w:t>string</w:t>
            </w:r>
          </w:p>
        </w:tc>
        <w:tc>
          <w:tcPr>
            <w:tcW w:type="dxa" w:w="1417"/>
          </w:tcPr>
          <w:p>
            <w:r>
              <w:t>0..1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transportation</w:t>
            </w:r>
          </w:p>
        </w:tc>
        <w:tc>
          <w:tcPr>
            <w:tcW w:type="dxa" w:w="1984"/>
          </w:tcPr>
          <w:p>
            <w:r>
              <w:t>Type de ressource/moyen</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concoursRequest</w:t>
            </w:r>
          </w:p>
        </w:tc>
        <w:tc>
          <w:tcPr>
            <w:tcW w:type="dxa" w:w="1984"/>
          </w:tcPr>
          <w:p>
            <w:r>
              <w:t>ID demande de concours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Etat du dossier</w:t>
            </w:r>
          </w:p>
        </w:tc>
        <w:tc>
          <w:tcPr>
            <w:tcW w:type="dxa" w:w="1134"/>
          </w:tcPr>
          <w:p>
            <w:r>
              <w:t>string</w:t>
              <w:br/>
              <w:t>(ENUM: Programmé, Actif , Achevé, Validé , Clôturé , Classé, Archivé)</w:t>
            </w:r>
          </w:p>
        </w:tc>
        <w:tc>
          <w:tcPr>
            <w:tcW w:type="dxa" w:w="1417"/>
          </w:tcPr>
          <w:p>
            <w:r>
              <w:t>0..1</w:t>
            </w:r>
          </w:p>
        </w:tc>
        <w:tc>
          <w:tcPr>
            <w:tcW w:type="dxa" w:w="4535"/>
          </w:tcPr>
          <w:p>
            <w:r>
              <w:t xml:space="preserve">cf. cycle SI SAMU  : échanger l'état du dossier si le cycle de vie du dossier est implémenté de manière conforme au cycle de vie du dossier SI-SAMU. </w:t>
              <w:br/>
              <w:t>Echanger à minima l'information que le dossier est clôturé.</w:t>
            </w:r>
          </w:p>
        </w:tc>
        <w:tc>
          <w:tcPr>
            <w:tcW w:type="dxa" w:w="1701"/>
          </w:tcPr>
          <w:p>
            <w:r/>
          </w:p>
        </w:tc>
      </w:tr>
      <w:tr>
        <w:tc>
          <w:tcPr>
            <w:tcW w:type="dxa" w:w="1701"/>
          </w:tcPr>
          <w:p>
            <w:r>
              <w:t>type</w:t>
            </w:r>
          </w:p>
        </w:tc>
        <w:tc>
          <w:tcPr>
            <w:tcW w:type="dxa" w:w="1984"/>
          </w:tcPr>
          <w:p>
            <w:r>
              <w:t>Type de dossier</w:t>
            </w:r>
          </w:p>
        </w:tc>
        <w:tc>
          <w:tcPr>
            <w:tcW w:type="dxa" w:w="1134"/>
          </w:tcPr>
          <w:p>
            <w:r>
              <w:t>string</w:t>
              <w:br/>
              <w:t xml:space="preserve">(ENUM: D, DR, DRM </w:t>
              <w:br/>
              <w:t>NOMENC_TYPEDOS)</w:t>
            </w:r>
          </w:p>
        </w:tc>
        <w:tc>
          <w:tcPr>
            <w:tcW w:type="dxa" w:w="1417"/>
          </w:tcPr>
          <w:p>
            <w:r>
              <w:t>0..1</w:t>
            </w:r>
          </w:p>
        </w:tc>
        <w:tc>
          <w:tcPr>
            <w:tcW w:type="dxa" w:w="4535"/>
          </w:tcPr>
          <w:p>
            <w:r>
              <w:t>D/DR/DRM si cycle SI-SAMU implémenté</w:t>
            </w:r>
          </w:p>
        </w:tc>
        <w:tc>
          <w:tcPr>
            <w:tcW w:type="dxa" w:w="1701"/>
          </w:tcPr>
          <w:p>
            <w:r>
              <w:t>DR</w:t>
            </w:r>
          </w:p>
        </w:tc>
      </w:tr>
      <w:tr>
        <w:tc>
          <w:tcPr>
            <w:tcW w:type="dxa" w:w="1701"/>
          </w:tcPr>
          <w:p>
            <w:r>
              <w:t>attribution</w:t>
            </w:r>
          </w:p>
        </w:tc>
        <w:tc>
          <w:tcPr>
            <w:tcW w:type="dxa" w:w="1984"/>
          </w:tcPr>
          <w:p>
            <w:r>
              <w:t>Attribution du dossier</w:t>
            </w:r>
          </w:p>
        </w:tc>
        <w:tc>
          <w:tcPr>
            <w:tcW w:type="dxa" w:w="1134"/>
          </w:tcPr>
          <w:p>
            <w:r>
              <w:t>string</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r>
        <w:tc>
          <w:tcPr>
            <w:tcW w:type="dxa" w:w="1701"/>
          </w:tcPr>
          <w:p>
            <w:r>
              <w:t>contact</w:t>
            </w:r>
          </w:p>
        </w:tc>
        <w:tc>
          <w:tcPr>
            <w:tcW w:type="dxa" w:w="1984"/>
          </w:tcPr>
          <w:p>
            <w:r>
              <w:t>Contact</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r>
        <w:tc>
          <w:tcPr>
            <w:tcW w:type="dxa" w:w="1701"/>
          </w:tcPr>
          <w:p>
            <w:r>
              <w:t>personalAddress</w:t>
            </w:r>
          </w:p>
        </w:tc>
        <w:tc>
          <w:tcPr>
            <w:tcW w:type="dxa" w:w="1984"/>
          </w:tcPr>
          <w:p>
            <w:r>
              <w:t>Adresse</w:t>
            </w:r>
          </w:p>
        </w:tc>
        <w:tc>
          <w:tcPr>
            <w:tcW w:type="dxa" w:w="1134"/>
          </w:tcPr>
          <w:p>
            <w:r>
              <w:t>cf. type personalAddress</w:t>
            </w:r>
          </w:p>
        </w:tc>
        <w:tc>
          <w:tcPr>
            <w:tcW w:type="dxa" w:w="1417"/>
          </w:tcPr>
          <w:p>
            <w:r>
              <w:t>0..1</w:t>
            </w:r>
          </w:p>
        </w:tc>
        <w:tc>
          <w:tcPr>
            <w:tcW w:type="dxa" w:w="4535"/>
          </w:tcPr>
          <w:p>
            <w:r>
              <w:t>Voir pour ajouter l'adresse postale du patient uniquement : pas besoin du niveau de détail de l'adresse d'intervention qui est un objet différent</w:t>
            </w:r>
          </w:p>
        </w:tc>
        <w:tc>
          <w:tcPr>
            <w:tcW w:type="dxa" w:w="1701"/>
          </w:tcPr>
          <w:p>
            <w:r/>
          </w:p>
        </w:tc>
      </w:tr>
      <w:tr>
        <w:tc>
          <w:tcPr>
            <w:tcW w:type="dxa" w:w="1701"/>
          </w:tcPr>
          <w:p>
            <w:r>
              <w:t>generalPractitioner</w:t>
            </w:r>
          </w:p>
        </w:tc>
        <w:tc>
          <w:tcPr>
            <w:tcW w:type="dxa" w:w="1984"/>
          </w:tcPr>
          <w:p>
            <w:r>
              <w:t xml:space="preserve">Médecin traitant </w:t>
            </w:r>
          </w:p>
        </w:tc>
        <w:tc>
          <w:tcPr>
            <w:tcW w:type="dxa" w:w="1134"/>
          </w:tcPr>
          <w:p>
            <w:r>
              <w:t>cf. type generalPractitioner</w:t>
            </w:r>
          </w:p>
        </w:tc>
        <w:tc>
          <w:tcPr>
            <w:tcW w:type="dxa" w:w="1417"/>
          </w:tcPr>
          <w:p>
            <w:r>
              <w:t>0..1</w:t>
            </w:r>
          </w:p>
        </w:tc>
        <w:tc>
          <w:tcPr>
            <w:tcW w:type="dxa" w:w="4535"/>
          </w:tcPr>
          <w:p>
            <w:r/>
          </w:p>
        </w:tc>
        <w:tc>
          <w:tcPr>
            <w:tcW w:type="dxa" w:w="1701"/>
          </w:tcPr>
          <w:p>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cycle</w:t>
            </w:r>
          </w:p>
        </w:tc>
        <w:tc>
          <w:tcPr>
            <w:tcW w:type="dxa" w:w="1984"/>
          </w:tcPr>
          <w:p>
            <w:r>
              <w:t>Implémentation INS</w:t>
            </w:r>
          </w:p>
        </w:tc>
        <w:tc>
          <w:tcPr>
            <w:tcW w:type="dxa" w:w="1134"/>
          </w:tcPr>
          <w:p>
            <w:r>
              <w:t>cf. type insCycle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number</w:t>
            </w:r>
          </w:p>
        </w:tc>
        <w:tc>
          <w:tcPr>
            <w:tcW w:type="dxa" w:w="1984"/>
          </w:tcPr>
          <w:p>
            <w:r>
              <w:t>Matricule INS</w:t>
            </w:r>
          </w:p>
        </w:tc>
        <w:tc>
          <w:tcPr>
            <w:tcW w:type="dxa" w:w="1134"/>
          </w:tcPr>
          <w:p>
            <w:r>
              <w:t>cf. type insNumber</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Hypothese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Hypotheses diagnostiques secondaires émises par le médecin régulateur du CRAA</w:t>
            </w:r>
          </w:p>
        </w:tc>
        <w:tc>
          <w:tcPr>
            <w:tcW w:type="dxa" w:w="1701"/>
          </w:tcPr>
          <w:p>
            <w:r/>
          </w:p>
        </w:tc>
      </w:tr>
    </w:tbl>
    <w:p>
      <w:pPr>
        <w:pStyle w:val="Heading1"/>
      </w:pPr>
      <w:r>
        <w:t>Type resourceDiagnosis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personalAddress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bl>
    <w:p>
      <w:pPr>
        <w:pStyle w:val="Heading1"/>
      </w:pPr>
      <w:r>
        <w:t>Type generalPractitioner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1..1</w:t>
            </w:r>
          </w:p>
        </w:tc>
        <w:tc>
          <w:tcPr>
            <w:tcW w:type="dxa" w:w="4535"/>
          </w:tcPr>
          <w:p>
            <w:r>
              <w:t>Nom du médecin traitant du patient si connu</w:t>
            </w:r>
          </w:p>
        </w:tc>
        <w:tc>
          <w:tcPr>
            <w:tcW w:type="dxa" w:w="1701"/>
          </w:tcPr>
          <w:p>
            <w:r/>
          </w:p>
        </w:tc>
      </w:tr>
      <w:tr>
        <w:tc>
          <w:tcPr>
            <w:tcW w:type="dxa" w:w="1701"/>
          </w:tcPr>
          <w:p>
            <w:r>
              <w:t>id</w:t>
            </w:r>
          </w:p>
        </w:tc>
        <w:tc>
          <w:tcPr>
            <w:tcW w:type="dxa" w:w="1984"/>
          </w:tcPr>
          <w:p>
            <w:r>
              <w:t>Identifiant RPPS</w:t>
            </w:r>
          </w:p>
        </w:tc>
        <w:tc>
          <w:tcPr>
            <w:tcW w:type="dxa" w:w="1134"/>
          </w:tcPr>
          <w:p>
            <w:r>
              <w:t>string</w:t>
            </w:r>
          </w:p>
        </w:tc>
        <w:tc>
          <w:tcPr>
            <w:tcW w:type="dxa" w:w="1417"/>
          </w:tcPr>
          <w:p>
            <w:r>
              <w:t>0..1</w:t>
            </w:r>
          </w:p>
        </w:tc>
        <w:tc>
          <w:tcPr>
            <w:tcW w:type="dxa" w:w="4535"/>
          </w:tcPr>
          <w:p>
            <w:r>
              <w:t>Numéro RPPS du médecin traitant</w:t>
            </w:r>
          </w:p>
        </w:tc>
        <w:tc>
          <w:tcPr>
            <w:tcW w:type="dxa" w:w="1701"/>
          </w:tcPr>
          <w:p>
            <w:r>
              <w:t>10000668540</w:t>
            </w:r>
          </w:p>
        </w:tc>
      </w:tr>
      <w:tr>
        <w:tc>
          <w:tcPr>
            <w:tcW w:type="dxa" w:w="1701"/>
          </w:tcPr>
          <w:p>
            <w:r>
              <w:t>personalAddress</w:t>
            </w:r>
          </w:p>
        </w:tc>
        <w:tc>
          <w:tcPr>
            <w:tcW w:type="dxa" w:w="1984"/>
          </w:tcPr>
          <w:p>
            <w:r>
              <w:t>Adresse medecin</w:t>
            </w:r>
          </w:p>
        </w:tc>
        <w:tc>
          <w:tcPr>
            <w:tcW w:type="dxa" w:w="1134"/>
          </w:tcPr>
          <w:p>
            <w:r>
              <w:t>cf. type personalAddress</w:t>
            </w:r>
          </w:p>
        </w:tc>
        <w:tc>
          <w:tcPr>
            <w:tcW w:type="dxa" w:w="1417"/>
          </w:tcPr>
          <w:p>
            <w:r>
              <w:t>0..1</w:t>
            </w:r>
          </w:p>
        </w:tc>
        <w:tc>
          <w:tcPr>
            <w:tcW w:type="dxa" w:w="4535"/>
          </w:tcPr>
          <w:p>
            <w:r/>
          </w:p>
        </w:tc>
        <w:tc>
          <w:tcPr>
            <w:tcW w:type="dxa" w:w="1701"/>
          </w:tcPr>
          <w:p>
            <w:r/>
          </w:p>
        </w:tc>
      </w:tr>
      <w:tr>
        <w:tc>
          <w:tcPr>
            <w:tcW w:type="dxa" w:w="1701"/>
          </w:tcPr>
          <w:p>
            <w:r>
              <w:t>contact</w:t>
            </w:r>
          </w:p>
        </w:tc>
        <w:tc>
          <w:tcPr>
            <w:tcW w:type="dxa" w:w="1984"/>
          </w:tcPr>
          <w:p>
            <w:r>
              <w:t>Contact médecin</w:t>
            </w:r>
          </w:p>
        </w:tc>
        <w:tc>
          <w:tcPr>
            <w:tcW w:type="dxa" w:w="1134"/>
          </w:tcPr>
          <w:p>
            <w:r>
              <w:t>cf. type contact</w:t>
            </w:r>
          </w:p>
        </w:tc>
        <w:tc>
          <w:tcPr>
            <w:tcW w:type="dxa" w:w="1417"/>
          </w:tcPr>
          <w:p>
            <w:r>
              <w:t>0..n</w:t>
            </w:r>
          </w:p>
        </w:tc>
        <w:tc>
          <w:tcPr>
            <w:tcW w:type="dxa" w:w="4535"/>
          </w:tcPr>
          <w:p>
            <w:r>
              <w:t>Type et valeur des URI utilisées par le patient concerné</w:t>
            </w:r>
          </w:p>
        </w:tc>
        <w:tc>
          <w:tcPr>
            <w:tcW w:type="dxa" w:w="1701"/>
          </w:tcPr>
          <w:p>
            <w:r/>
          </w:p>
        </w:tc>
      </w:tr>
    </w:tbl>
    <w:p>
      <w:pPr>
        <w:pStyle w:val="Heading1"/>
      </w:pPr>
      <w:r>
        <w:t>Type insCycle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status</w:t>
            </w:r>
          </w:p>
        </w:tc>
        <w:tc>
          <w:tcPr>
            <w:tcW w:type="dxa" w:w="1984"/>
          </w:tcPr>
          <w:p>
            <w:r>
              <w:t>Statut de l'identité</w:t>
            </w:r>
          </w:p>
        </w:tc>
        <w:tc>
          <w:tcPr>
            <w:tcW w:type="dxa" w:w="1134"/>
          </w:tcPr>
          <w:p>
            <w:r>
              <w:t>string</w:t>
              <w:br/>
              <w:t>(ENUM: Provisoire, Validée, Récupérée, Qualifiée)</w:t>
            </w:r>
          </w:p>
        </w:tc>
        <w:tc>
          <w:tcPr>
            <w:tcW w:type="dxa" w:w="1417"/>
          </w:tcPr>
          <w:p>
            <w:r>
              <w:t>0..1</w:t>
            </w:r>
          </w:p>
        </w:tc>
        <w:tc>
          <w:tcPr>
            <w:tcW w:type="dxa" w:w="4535"/>
          </w:tcPr>
          <w:p>
            <w:r>
              <w:t>Le RNIV exige que les logiciels référentiels d’identités gèrent les 4 statuts fonctionnels suivants :</w:t>
              <w:br/>
              <w:t>- « identité provisoire »,</w:t>
              <w:br/>
              <w:t>- « identité récupérée »,</w:t>
              <w:br/>
              <w:t>- « identité validée »,</w:t>
              <w:br/>
              <w:t>- « identité qualifiée ».</w:t>
              <w:br/>
              <w:t>Ces statuts fonctionnels sont exclusifs les uns des autres. Le référentiel INS [EXI 18] précise en outre que le matricule INS et l’OID doivent être accompagnés d’informations confirmant qu’ils ont été qualifiés.</w:t>
            </w:r>
          </w:p>
        </w:tc>
        <w:tc>
          <w:tcPr>
            <w:tcW w:type="dxa" w:w="1701"/>
          </w:tcPr>
          <w:p>
            <w:r/>
          </w:p>
        </w:tc>
      </w:tr>
      <w:tr>
        <w:tc>
          <w:tcPr>
            <w:tcW w:type="dxa" w:w="1701"/>
          </w:tcPr>
          <w:p>
            <w:r>
              <w:t>attribute</w:t>
            </w:r>
          </w:p>
        </w:tc>
        <w:tc>
          <w:tcPr>
            <w:tcW w:type="dxa" w:w="1984"/>
          </w:tcPr>
          <w:p>
            <w:r>
              <w:t>Attribut de l'identité</w:t>
            </w:r>
          </w:p>
        </w:tc>
        <w:tc>
          <w:tcPr>
            <w:tcW w:type="dxa" w:w="1134"/>
          </w:tcPr>
          <w:p>
            <w:r>
              <w:t>string</w:t>
              <w:br/>
              <w:t>(ENUM: Homonyme, Fictive, Douteuse)</w:t>
            </w:r>
          </w:p>
        </w:tc>
        <w:tc>
          <w:tcPr>
            <w:tcW w:type="dxa" w:w="1417"/>
          </w:tcPr>
          <w:p>
            <w:r>
              <w:t>0..1</w:t>
            </w:r>
          </w:p>
        </w:tc>
        <w:tc>
          <w:tcPr>
            <w:tcW w:type="dxa" w:w="4535"/>
          </w:tcPr>
          <w:p>
            <w:r>
              <w:t>Le RNIV recommande que les logiciels référentiels d’identités gèrent a minima les 3 attributs suivants :</w:t>
              <w:br/>
              <w:t>- identité homonyme,</w:t>
              <w:br/>
              <w:t>- identité douteuse,</w:t>
              <w:br/>
              <w:t>- identité fictive.</w:t>
            </w:r>
          </w:p>
        </w:tc>
        <w:tc>
          <w:tcPr>
            <w:tcW w:type="dxa" w:w="1701"/>
          </w:tcPr>
          <w:p>
            <w:r/>
          </w:p>
        </w:tc>
      </w:tr>
    </w:tbl>
    <w:p>
      <w:pPr>
        <w:pStyle w:val="Heading1"/>
      </w:pPr>
      <w:r>
        <w:t>Type insNumber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value</w:t>
            </w:r>
          </w:p>
        </w:tc>
        <w:tc>
          <w:tcPr>
            <w:tcW w:type="dxa" w:w="1984"/>
          </w:tcPr>
          <w:p>
            <w:r>
              <w:t xml:space="preserve">Matricule </w:t>
            </w:r>
          </w:p>
        </w:tc>
        <w:tc>
          <w:tcPr>
            <w:tcW w:type="dxa" w:w="1134"/>
          </w:tcPr>
          <w:p>
            <w:r>
              <w:t>string</w:t>
            </w:r>
          </w:p>
        </w:tc>
        <w:tc>
          <w:tcPr>
            <w:tcW w:type="dxa" w:w="1417"/>
          </w:tcPr>
          <w:p>
            <w:r>
              <w:t>0..1</w:t>
            </w:r>
          </w:p>
        </w:tc>
        <w:tc>
          <w:tcPr>
            <w:tcW w:type="dxa" w:w="4535"/>
          </w:tcPr>
          <w:p>
            <w:r>
              <w:t>n° NIR OU n° NIA de l'individu. Le matricule INS (et son OID) ne doit jamais être propagé (= échangé) si l'identité est à un statut autre que qualifiée. Il correspond au numéro personnel de sécurité sociale. Il peut être différent du numéro de sécurité sociale utilisé pour le remboursement des soins par l’assurance maladie, dans le cas par exemple où l’usager n’est pas l’assuré social (ex.: l’enfant qui est rattaché à l’un de ses parents).</w:t>
              <w:br/>
              <w:t xml:space="preserve">Le matricule INS est composé des 13 caractères et de la clé de contrôle. </w:t>
            </w:r>
          </w:p>
        </w:tc>
        <w:tc>
          <w:tcPr>
            <w:tcW w:type="dxa" w:w="1701"/>
          </w:tcPr>
          <w:p>
            <w:r>
              <w:t>2 77 01 01 154 002 29</w:t>
            </w:r>
          </w:p>
        </w:tc>
      </w:tr>
      <w:tr>
        <w:tc>
          <w:tcPr>
            <w:tcW w:type="dxa" w:w="1701"/>
          </w:tcPr>
          <w:p>
            <w:r>
              <w:t>oid</w:t>
            </w:r>
          </w:p>
        </w:tc>
        <w:tc>
          <w:tcPr>
            <w:tcW w:type="dxa" w:w="1984"/>
          </w:tcPr>
          <w:p>
            <w:r>
              <w:t>OID</w:t>
            </w:r>
          </w:p>
        </w:tc>
        <w:tc>
          <w:tcPr>
            <w:tcW w:type="dxa" w:w="1134"/>
          </w:tcPr>
          <w:p>
            <w:r>
              <w:t>string</w:t>
            </w:r>
          </w:p>
        </w:tc>
        <w:tc>
          <w:tcPr>
            <w:tcW w:type="dxa" w:w="1417"/>
          </w:tcPr>
          <w:p>
            <w:r>
              <w:t>0..1</w:t>
            </w:r>
          </w:p>
        </w:tc>
        <w:tc>
          <w:tcPr>
            <w:tcW w:type="dxa" w:w="4535"/>
          </w:tcPr>
          <w:p>
            <w:r>
              <w:t>Identifiant de la structure qui a affecté l’INS sous la forme d'un OID. Les OID (Object Identifier) sont des identifiants universels, représentés sous la forme d'une suite d'entiers. Ils sont organisés sous forme hiérarchique avec des nœuds. L'OID est toujours associé à un matricule INS, il n'est donc pas propagé si le statut de l'identité n'est pas "qualifiée"</w:t>
            </w:r>
          </w:p>
        </w:tc>
        <w:tc>
          <w:tcPr>
            <w:tcW w:type="dxa" w:w="1701"/>
          </w:tcPr>
          <w:p>
            <w:r>
              <w:t>1.2.250.1.213.1.4.8</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birthFirstName</w:t>
            </w:r>
          </w:p>
        </w:tc>
        <w:tc>
          <w:tcPr>
            <w:tcW w:type="dxa" w:w="1984"/>
          </w:tcPr>
          <w:p>
            <w:r>
              <w:t>Premier prénom de naissance</w:t>
            </w:r>
          </w:p>
        </w:tc>
        <w:tc>
          <w:tcPr>
            <w:tcW w:type="dxa" w:w="1134"/>
          </w:tcPr>
          <w:p>
            <w:r>
              <w:t>string</w:t>
            </w:r>
          </w:p>
        </w:tc>
        <w:tc>
          <w:tcPr>
            <w:tcW w:type="dxa" w:w="1417"/>
          </w:tcPr>
          <w:p>
            <w:r>
              <w:t>0..1</w:t>
            </w:r>
          </w:p>
        </w:tc>
        <w:tc>
          <w:tcPr>
            <w:tcW w:type="dxa" w:w="4535"/>
          </w:tcPr>
          <w:p>
            <w:r>
              <w:t xml:space="preserve">Doit être cohérent avec la liste des prénoms de naissance renvoyée par INSi. Ex: si la liste des prénoms renvoyée est "Pierre Alain Jacques", le premier prénom de naissance ne peut être que : </w:t>
              <w:br/>
              <w:t>Pierre</w:t>
              <w:br/>
              <w:t>Pierre Alain</w:t>
              <w:br/>
              <w:t>Pierre Alain Jacques</w:t>
            </w:r>
          </w:p>
        </w:tc>
        <w:tc>
          <w:tcPr>
            <w:tcW w:type="dxa" w:w="1701"/>
          </w:tcPr>
          <w:p>
            <w:r/>
          </w:p>
        </w:tc>
      </w:tr>
      <w:tr>
        <w:tc>
          <w:tcPr>
            <w:tcW w:type="dxa" w:w="1701"/>
          </w:tcPr>
          <w:p>
            <w:r>
              <w:t>birthFirstNamesList</w:t>
            </w:r>
          </w:p>
        </w:tc>
        <w:tc>
          <w:tcPr>
            <w:tcW w:type="dxa" w:w="1984"/>
          </w:tcPr>
          <w:p>
            <w:r>
              <w:t>Liste des prénoms de naissance</w:t>
            </w:r>
          </w:p>
        </w:tc>
        <w:tc>
          <w:tcPr>
            <w:tcW w:type="dxa" w:w="1134"/>
          </w:tcPr>
          <w:p>
            <w:r>
              <w:t>string</w:t>
            </w:r>
          </w:p>
        </w:tc>
        <w:tc>
          <w:tcPr>
            <w:tcW w:type="dxa" w:w="1417"/>
          </w:tcPr>
          <w:p>
            <w:r>
              <w:t>0..1</w:t>
            </w:r>
          </w:p>
        </w:tc>
        <w:tc>
          <w:tcPr>
            <w:tcW w:type="dxa" w:w="4535"/>
          </w:tcPr>
          <w:p>
            <w:r>
              <w:t>Ensemble des prénoms de naissance (renvoyés par INSi)</w:t>
            </w:r>
          </w:p>
        </w:tc>
        <w:tc>
          <w:tcPr>
            <w:tcW w:type="dxa" w:w="1701"/>
          </w:tcPr>
          <w:p>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r>
          </w:p>
        </w:tc>
        <w:tc>
          <w:tcPr>
            <w:tcW w:type="dxa" w:w="1417"/>
          </w:tcPr>
          <w:p>
            <w:r>
              <w:t>0..1</w:t>
            </w:r>
          </w:p>
        </w:tc>
        <w:tc>
          <w:tcPr>
            <w:tcW w:type="dxa" w:w="4535"/>
          </w:tcPr>
          <w:p>
            <w:r>
              <w:t>Sexe du patient</w:t>
            </w:r>
          </w:p>
        </w:tc>
        <w:tc>
          <w:tcPr>
            <w:tcW w:type="dxa" w:w="1701"/>
          </w:tcPr>
          <w:p>
            <w:r>
              <w:t>F</w:t>
            </w:r>
          </w:p>
        </w:tc>
      </w:tr>
      <w:tr>
        <w:tc>
          <w:tcPr>
            <w:tcW w:type="dxa" w:w="1701"/>
          </w:tcPr>
          <w:p>
            <w:r>
              <w:t>birthPlaceCode</w:t>
            </w:r>
          </w:p>
        </w:tc>
        <w:tc>
          <w:tcPr>
            <w:tcW w:type="dxa" w:w="1984"/>
          </w:tcPr>
          <w:p>
            <w:r>
              <w:t>Code lieu de naissance</w:t>
            </w:r>
          </w:p>
        </w:tc>
        <w:tc>
          <w:tcPr>
            <w:tcW w:type="dxa" w:w="1134"/>
          </w:tcPr>
          <w:p>
            <w:r>
              <w:t>number</w:t>
            </w:r>
          </w:p>
        </w:tc>
        <w:tc>
          <w:tcPr>
            <w:tcW w:type="dxa" w:w="1417"/>
          </w:tcPr>
          <w:p>
            <w:r>
              <w:t>0..1</w:t>
            </w:r>
          </w:p>
        </w:tc>
        <w:tc>
          <w:tcPr>
            <w:tcW w:type="dxa" w:w="4535"/>
          </w:tcPr>
          <w:p>
            <w:r>
              <w:t>Il s’agit de la commune de naissance pour les personnes nées en France et du pays de naissance pour les personnes nées à l’étranger. Utilisation du code INSEE (différent du code postal), auquel est associé le nom de la commune ou du pays correspondant.</w:t>
            </w:r>
          </w:p>
        </w:tc>
        <w:tc>
          <w:tcPr>
            <w:tcW w:type="dxa" w:w="1701"/>
          </w:tcPr>
          <w:p>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Commentaire libre permettant de passer des informations complémentaires associées à la nomenclature</w:t>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