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A valoriser avec l'identifiant de l'affaire/dossier partagé entre tous les intervenants, valorisé comme suit : {pays}.{domaine}.{organisation}.{senderCaseId}.</w:t>
              <w:br/>
              <w:t>Cet identifiant est généré une seule fois par le système du partenaire récepteur de la primo-demande de secours (créateur du dossier).</w:t>
              <w:br/>
              <w:t>Il doit pouvoir être généré de façon décentralisée et ne présenter aucune ambiguïté. Il doit être unique dans l'ensemble des systèmes : le numéro de dossier fourni par celui qui génère l'identifiant partagé doit donc être un numéro unique dans son système.</w:t>
              <w:br/>
              <w:br/>
              <w:t xml:space="preserve">Pour les systèmes qui ne sont pas en mesure de garantir l'unicité d'un numéro de dossier (senderCaseId), il est possible de décomposer le numéro de dossier fourni, afin de le rendre unique. </w:t>
              <w:br/>
              <w:t>Par exemple  : {pays}.{domaine}.{organisation}.{structure interne}.{unité fonctionnelle}.{senderCaseId}</w:t>
              <w:br/>
              <w:br/>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perimeter</w:t>
            </w:r>
          </w:p>
        </w:tc>
        <w:tc>
          <w:tcPr>
            <w:tcW w:type="dxa" w:w="1984"/>
          </w:tcPr>
          <w:p>
            <w:r>
              <w:t>Filière</w:t>
            </w:r>
          </w:p>
        </w:tc>
        <w:tc>
          <w:tcPr>
            <w:tcW w:type="dxa" w:w="1134"/>
          </w:tcPr>
          <w:p>
            <w:r>
              <w:t>string</w:t>
              <w:br/>
              <w:t>(ENUM: AMU, NEONAT, PSY, SNP)</w:t>
            </w:r>
          </w:p>
        </w:tc>
        <w:tc>
          <w:tcPr>
            <w:tcW w:type="dxa" w:w="1417"/>
          </w:tcPr>
          <w:p>
            <w:r>
              <w:t>0..1</w:t>
            </w:r>
          </w:p>
        </w:tc>
        <w:tc>
          <w:tcPr>
            <w:tcW w:type="dxa" w:w="4535"/>
          </w:tcPr>
          <w:p>
            <w:r>
              <w:t>Sert à indiquer à quelle filière du CRRA destinataire le dossier doit être adressé/affiché, lorsque celle-ci est spécifique ou dédiée.</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 RETOUR A DOMICILE)</w:t>
            </w:r>
          </w:p>
        </w:tc>
        <w:tc>
          <w:tcPr>
            <w:tcW w:type="dxa" w:w="1417"/>
          </w:tcPr>
          <w:p>
            <w:r>
              <w:t>0..1</w:t>
            </w:r>
          </w:p>
        </w:tc>
        <w:tc>
          <w:tcPr>
            <w:tcW w:type="dxa" w:w="4535"/>
          </w:tcPr>
          <w:p>
            <w:r>
              <w:t>A valoriser en indiquant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Attribut qui permet de transférer la prise en charge d'un dossier à un autre CRAA - après accord verbal de ce dernier.</w:t>
            </w:r>
          </w:p>
        </w:tc>
        <w:tc>
          <w:tcPr>
            <w:tcW w:type="dxa" w:w="1701"/>
          </w:tcPr>
          <w:p>
            <w:r>
              <w:t>fr.health.samu440</w:t>
            </w:r>
          </w:p>
        </w:tc>
      </w:tr>
      <w:tr>
        <w:tc>
          <w:tcPr>
            <w:tcW w:type="dxa" w:w="1701"/>
          </w:tcPr>
          <w:p>
            <w:r>
              <w:t>patient</w:t>
            </w:r>
          </w:p>
        </w:tc>
        <w:tc>
          <w:tcPr>
            <w:tcW w:type="dxa" w:w="1984"/>
          </w:tcPr>
          <w:p>
            <w:r>
              <w:t>Patient</w:t>
            </w:r>
          </w:p>
        </w:tc>
        <w:tc>
          <w:tcPr>
            <w:tcW w:type="dxa" w:w="1134"/>
          </w:tcPr>
          <w:p>
            <w:r>
              <w:t>cf. type patient</w:t>
            </w:r>
          </w:p>
        </w:tc>
        <w:tc>
          <w:tcPr>
            <w:tcW w:type="dxa" w:w="1417"/>
          </w:tcPr>
          <w:p>
            <w:r>
              <w:t>0..n</w:t>
            </w:r>
          </w:p>
        </w:tc>
        <w:tc>
          <w:tcPr>
            <w:tcW w:type="dxa" w:w="4535"/>
          </w:tcPr>
          <w:p>
            <w:r>
              <w:t>Objet qui permet l'identification des patients / victimes</w:t>
            </w:r>
          </w:p>
        </w:tc>
        <w:tc>
          <w:tcPr>
            <w:tcW w:type="dxa" w:w="1701"/>
          </w:tcPr>
          <w:p>
            <w:r/>
          </w:p>
        </w:tc>
      </w:tr>
      <w:tr>
        <w:tc>
          <w:tcPr>
            <w:tcW w:type="dxa" w:w="1701"/>
          </w:tcPr>
          <w:p>
            <w:r>
              <w:t>medicalNote</w:t>
            </w:r>
          </w:p>
        </w:tc>
        <w:tc>
          <w:tcPr>
            <w:tcW w:type="dxa" w:w="1984"/>
          </w:tcPr>
          <w:p>
            <w:r>
              <w:t>Observation médicale</w:t>
            </w:r>
          </w:p>
        </w:tc>
        <w:tc>
          <w:tcPr>
            <w:tcW w:type="dxa" w:w="1134"/>
          </w:tcPr>
          <w:p>
            <w:r>
              <w:t>cf. type medicalNote</w:t>
            </w:r>
          </w:p>
        </w:tc>
        <w:tc>
          <w:tcPr>
            <w:tcW w:type="dxa" w:w="1417"/>
          </w:tcPr>
          <w:p>
            <w:r>
              <w:t>0..n</w:t>
            </w:r>
          </w:p>
        </w:tc>
        <w:tc>
          <w:tcPr>
            <w:tcW w:type="dxa" w:w="4535"/>
          </w:tcPr>
          <w:p>
            <w:r>
              <w:t xml:space="preserve">Observations de nature médicale. </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origin</w:t>
            </w:r>
          </w:p>
        </w:tc>
        <w:tc>
          <w:tcPr>
            <w:tcW w:type="dxa" w:w="1984"/>
          </w:tcPr>
          <w:p>
            <w:r>
              <w:t>Origine de l'appel</w:t>
            </w:r>
          </w:p>
        </w:tc>
        <w:tc>
          <w:tcPr>
            <w:tcW w:type="dxa" w:w="1134"/>
          </w:tcPr>
          <w:p>
            <w:r>
              <w:t>string</w:t>
              <w:br/>
              <w:t>(ENUM: 15, 18, 17, 112, 116117)</w:t>
            </w:r>
          </w:p>
        </w:tc>
        <w:tc>
          <w:tcPr>
            <w:tcW w:type="dxa" w:w="1417"/>
          </w:tcPr>
          <w:p>
            <w:r>
              <w:t>0..1</w:t>
            </w:r>
          </w:p>
        </w:tc>
        <w:tc>
          <w:tcPr>
            <w:tcW w:type="dxa" w:w="4535"/>
          </w:tcPr>
          <w:p>
            <w:r>
              <w:t>A valoriser avec le numéro de provenance de l'appel.</w:t>
            </w:r>
          </w:p>
        </w:tc>
        <w:tc>
          <w:tcPr>
            <w:tcW w:type="dxa" w:w="1701"/>
          </w:tcPr>
          <w:p>
            <w:r>
              <w:t>15, 112, 18</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0..1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pluiseurs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 xml:space="preserve">Objet qui permet de partager l'identifiant d'un objet ayant servi à l'établissement de la localisation. </w:t>
              <w:br/>
              <w:t>L'identifiant BAN de l'adresse (clé d'interopérabilité) doit être partagé au maximum.</w:t>
            </w:r>
          </w:p>
        </w:tc>
        <w:tc>
          <w:tcPr>
            <w:tcW w:type="dxa" w:w="1701"/>
          </w:tcPr>
          <w:p>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A valoriser avec l'identifiant partagé du patient, valorisé comme suit : {ID du dossier partagé}.P{numéro d’ordre chronologique}</w:t>
              <w:br/>
              <w:t>Cet identifiant est généré une seule fois par le système du partenaire qui créé le patient.</w:t>
              <w:br/>
            </w:r>
          </w:p>
        </w:tc>
        <w:tc>
          <w:tcPr>
            <w:tcW w:type="dxa" w:w="1701"/>
          </w:tcPr>
          <w:p>
            <w:r>
              <w:t>fr.health.samu044.DRFR154402415000450.P1</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t>Objet qui permet de décrire les données administratives liées au patient</w:t>
            </w:r>
          </w:p>
        </w:tc>
        <w:tc>
          <w:tcPr>
            <w:tcW w:type="dxa" w:w="1701"/>
          </w:tcPr>
          <w:p>
            <w:r/>
          </w:p>
        </w:tc>
      </w:tr>
      <w:tr>
        <w:tc>
          <w:tcPr>
            <w:tcW w:type="dxa" w:w="1701"/>
          </w:tcPr>
          <w:p>
            <w:r>
              <w:t>identity</w:t>
            </w:r>
          </w:p>
        </w:tc>
        <w:tc>
          <w:tcPr>
            <w:tcW w:type="dxa" w:w="1984"/>
          </w:tcPr>
          <w:p>
            <w:r>
              <w:t>Identité</w:t>
            </w:r>
          </w:p>
        </w:tc>
        <w:tc>
          <w:tcPr>
            <w:tcW w:type="dxa" w:w="1134"/>
          </w:tcPr>
          <w:p>
            <w:r>
              <w:t>cf. type Identity</w:t>
            </w:r>
          </w:p>
        </w:tc>
        <w:tc>
          <w:tcPr>
            <w:tcW w:type="dxa" w:w="1417"/>
          </w:tcPr>
          <w:p>
            <w:r>
              <w:t>0..1</w:t>
            </w:r>
          </w:p>
        </w:tc>
        <w:tc>
          <w:tcPr>
            <w:tcW w:type="dxa" w:w="4535"/>
          </w:tcPr>
          <w:p>
            <w:r>
              <w:t>Objet qui permet de décrire l'identité du patient</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associé spécifiquement à un patient : cf.nomenclature associée.</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t>Objet qui permet de décrire les caractéristiques du patient</w:t>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t>Objet qui permet de décrire les hypothèses de régulation médicale</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 xml:space="preserve">Champ libre qui permet de compléter les informations liées spécifiquement à l'identité ou aux caractéristiques du patient - en dehors de tout commentaire ou interrogatoire de nature médical. </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idPat</w:t>
            </w:r>
          </w:p>
        </w:tc>
        <w:tc>
          <w:tcPr>
            <w:tcW w:type="dxa" w:w="1984"/>
          </w:tcPr>
          <w:p>
            <w:r>
              <w:t>ID patient partagé</w:t>
            </w:r>
          </w:p>
        </w:tc>
        <w:tc>
          <w:tcPr>
            <w:tcW w:type="dxa" w:w="1134"/>
          </w:tcPr>
          <w:p>
            <w:r>
              <w:t>string</w:t>
            </w:r>
          </w:p>
        </w:tc>
        <w:tc>
          <w:tcPr>
            <w:tcW w:type="dxa" w:w="1417"/>
          </w:tcPr>
          <w:p>
            <w:r>
              <w:t>0..1</w:t>
            </w:r>
          </w:p>
        </w:tc>
        <w:tc>
          <w:tcPr>
            <w:tcW w:type="dxa" w:w="4535"/>
          </w:tcPr>
          <w:p>
            <w:r>
              <w:t xml:space="preserve">Identifiant partagé du patient concerné par l'observation, a remplir obligatoirement si ce patient existe et est identifié dans le système emetteur, valorisé comme suit  : </w:t>
              <w:br/>
              <w:t>{ID du dossier partagé}.P{numéro d’ordre chronologique unique du patient}</w:t>
            </w:r>
          </w:p>
        </w:tc>
        <w:tc>
          <w:tcPr>
            <w:tcW w:type="dxa" w:w="1701"/>
          </w:tcPr>
          <w:p>
            <w:r>
              <w:t>fr.health.samu044.DRFR154402415000450.P1</w:t>
            </w:r>
          </w:p>
        </w:tc>
      </w:tr>
      <w:tr>
        <w:tc>
          <w:tcPr>
            <w:tcW w:type="dxa" w:w="1701"/>
          </w:tcPr>
          <w:p>
            <w:r>
              <w:t>operator</w:t>
            </w:r>
          </w:p>
        </w:tc>
        <w:tc>
          <w:tcPr>
            <w:tcW w:type="dxa" w:w="1984"/>
          </w:tcPr>
          <w:p>
            <w:r>
              <w:t>Professionnel de santé qui réalise l'observation</w:t>
            </w:r>
          </w:p>
        </w:tc>
        <w:tc>
          <w:tcPr>
            <w:tcW w:type="dxa" w:w="1134"/>
          </w:tcPr>
          <w:p>
            <w:r>
              <w:t>cf. type operator</w:t>
            </w:r>
          </w:p>
        </w:tc>
        <w:tc>
          <w:tcPr>
            <w:tcW w:type="dxa" w:w="1417"/>
          </w:tcPr>
          <w:p>
            <w:r>
              <w:t>1..1</w:t>
            </w:r>
          </w:p>
        </w:tc>
        <w:tc>
          <w:tcPr>
            <w:tcW w:type="dxa" w:w="4535"/>
          </w:tcPr>
          <w:p>
            <w:r>
              <w:t xml:space="preserve">Objet qui permet de décrire le professionnel de santé qui réalise l'interrogatoire médical. </w:t>
            </w:r>
          </w:p>
        </w:tc>
        <w:tc>
          <w:tcPr>
            <w:tcW w:type="dxa" w:w="1701"/>
          </w:tcPr>
          <w:p>
            <w:r/>
          </w:p>
        </w:tc>
      </w:tr>
      <w:tr>
        <w:tc>
          <w:tcPr>
            <w:tcW w:type="dxa" w:w="1701"/>
          </w:tcPr>
          <w:p>
            <w:r>
              <w:t>idObs</w:t>
            </w:r>
          </w:p>
        </w:tc>
        <w:tc>
          <w:tcPr>
            <w:tcW w:type="dxa" w:w="1984"/>
          </w:tcPr>
          <w:p>
            <w:r>
              <w:t>ID Observation</w:t>
            </w:r>
          </w:p>
        </w:tc>
        <w:tc>
          <w:tcPr>
            <w:tcW w:type="dxa" w:w="1134"/>
          </w:tcPr>
          <w:p>
            <w:r>
              <w:t>string</w:t>
            </w:r>
          </w:p>
        </w:tc>
        <w:tc>
          <w:tcPr>
            <w:tcW w:type="dxa" w:w="1417"/>
          </w:tcPr>
          <w:p>
            <w:r>
              <w:t>0..1</w:t>
            </w:r>
          </w:p>
        </w:tc>
        <w:tc>
          <w:tcPr>
            <w:tcW w:type="dxa" w:w="4535"/>
          </w:tcPr>
          <w:p>
            <w:r>
              <w:t>A valoriser avec l'identifiant unique de l'observation, valorisé comme suit : {caseID}.medicalNote.{ID de l'observation dans le système émetteur}.</w:t>
              <w:br/>
              <w:t>Cet identifiant a vocation à devenir obligatoire pour permettre les mises à jour, il est laissé en facultatif temporairement.</w:t>
              <w:br/>
            </w:r>
          </w:p>
        </w:tc>
        <w:tc>
          <w:tcPr>
            <w:tcW w:type="dxa" w:w="1701"/>
          </w:tcPr>
          <w:p>
            <w:r>
              <w:t>fr.health.samu540.DRFR155402416000125.medicalNote.46585A</w:t>
            </w:r>
          </w:p>
        </w:tc>
      </w:tr>
      <w:tr>
        <w:tc>
          <w:tcPr>
            <w:tcW w:type="dxa" w:w="1701"/>
          </w:tcPr>
          <w:p>
            <w:r>
              <w:t>creation</w:t>
            </w:r>
          </w:p>
        </w:tc>
        <w:tc>
          <w:tcPr>
            <w:tcW w:type="dxa" w:w="1984"/>
          </w:tcPr>
          <w:p>
            <w:r>
              <w:t>Date Heure de création de l'observation</w:t>
            </w:r>
          </w:p>
        </w:tc>
        <w:tc>
          <w:tcPr>
            <w:tcW w:type="dxa" w:w="1134"/>
          </w:tcPr>
          <w:p>
            <w:r>
              <w:t>datetime</w:t>
            </w:r>
          </w:p>
        </w:tc>
        <w:tc>
          <w:tcPr>
            <w:tcW w:type="dxa" w:w="1417"/>
          </w:tcPr>
          <w:p>
            <w:r>
              <w:t>0..1</w:t>
            </w:r>
          </w:p>
        </w:tc>
        <w:tc>
          <w:tcPr>
            <w:tcW w:type="dxa" w:w="4535"/>
          </w:tcPr>
          <w:p>
            <w:r>
              <w:t>A valoriser avec le groupe date heure de création de l'observation.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Champ libre qui permet de compléter les informations de nature médicales, faites par un ARM, un médecin ou un autre professionnel de santé.</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r>
        <w:tc>
          <w:tcPr>
            <w:tcW w:type="dxa" w:w="1701"/>
          </w:tcPr>
          <w:p>
            <w:r>
              <w:t>careLevel</w:t>
            </w:r>
          </w:p>
        </w:tc>
        <w:tc>
          <w:tcPr>
            <w:tcW w:type="dxa" w:w="1984"/>
          </w:tcPr>
          <w:p>
            <w:r>
              <w:t>Niveau de soin du dossier</w:t>
            </w:r>
          </w:p>
        </w:tc>
        <w:tc>
          <w:tcPr>
            <w:tcW w:type="dxa" w:w="1134"/>
          </w:tcPr>
          <w:p>
            <w:r>
              <w:t>string</w:t>
              <w:br/>
              <w:t>(NOMENCLATURE: SI-SAMU-GRAVITE)</w:t>
            </w:r>
          </w:p>
        </w:tc>
        <w:tc>
          <w:tcPr>
            <w:tcW w:type="dxa" w:w="1417"/>
          </w:tcPr>
          <w:p>
            <w:r>
              <w:t>0..1</w:t>
            </w:r>
          </w:p>
        </w:tc>
        <w:tc>
          <w:tcPr>
            <w:tcW w:type="dxa" w:w="4535"/>
          </w:tcPr>
          <w:p>
            <w:r>
              <w:t>Décrit le niveau de soin global du dossier : s'il y a plusieurs niveau de soin différents pour chaque patient, on indique ici le niveau le plus grave.</w:t>
              <w:br/>
              <w:t>cf.nomenclature associée.</w:t>
            </w:r>
          </w:p>
        </w:tc>
        <w:tc>
          <w:tcPr>
            <w:tcW w:type="dxa" w:w="1701"/>
          </w:tcPr>
          <w:p>
            <w:r>
              <w:t>R1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highway</w:t>
            </w:r>
          </w:p>
        </w:tc>
        <w:tc>
          <w:tcPr>
            <w:tcW w:type="dxa" w:w="1984"/>
          </w:tcPr>
          <w:p>
            <w:r>
              <w:t>Autoroute</w:t>
            </w:r>
          </w:p>
        </w:tc>
        <w:tc>
          <w:tcPr>
            <w:tcW w:type="dxa" w:w="1134"/>
          </w:tcPr>
          <w:p>
            <w:r>
              <w:t>cf. type highway</w:t>
            </w:r>
          </w:p>
        </w:tc>
        <w:tc>
          <w:tcPr>
            <w:tcW w:type="dxa" w:w="1417"/>
          </w:tcPr>
          <w:p>
            <w:r>
              <w:t>0..1</w:t>
            </w:r>
          </w:p>
        </w:tc>
        <w:tc>
          <w:tcPr>
            <w:tcW w:type="dxa" w:w="4535"/>
          </w:tcPr>
          <w:p>
            <w:r>
              <w:t xml:space="preserve">Objet qui permet de transmettre les informations liés à une autoroute. S'utilise aussi pour les voies férées et navigables. </w:t>
            </w:r>
          </w:p>
        </w:tc>
        <w:tc>
          <w:tcPr>
            <w:tcW w:type="dxa" w:w="1701"/>
          </w:tcPr>
          <w:p>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A valoriser avec le 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A valoriser avec la définition du type d'objet dans le système</w:t>
              <w:br/>
              <w:t>Exemple  : SIG NexSIS / OSM ont plusieurs types de données -&gt; savoir du quel on parle (POI, tronçon de route, …) pour faciliter le filtre | Aussi table dans une base de données</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highway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l'autoroute, de la voie ferrée ou voie navigable.</w:t>
            </w:r>
          </w:p>
        </w:tc>
        <w:tc>
          <w:tcPr>
            <w:tcW w:type="dxa" w:w="1701"/>
          </w:tcPr>
          <w:p>
            <w:r>
              <w:t>A4</w:t>
            </w:r>
          </w:p>
        </w:tc>
      </w:tr>
      <w:tr>
        <w:tc>
          <w:tcPr>
            <w:tcW w:type="dxa" w:w="1701"/>
          </w:tcPr>
          <w:p>
            <w:r>
              <w:t>pk</w:t>
            </w:r>
          </w:p>
        </w:tc>
        <w:tc>
          <w:tcPr>
            <w:tcW w:type="dxa" w:w="1984"/>
          </w:tcPr>
          <w:p>
            <w:r>
              <w:t>Point kilométrique</w:t>
            </w:r>
          </w:p>
        </w:tc>
        <w:tc>
          <w:tcPr>
            <w:tcW w:type="dxa" w:w="1134"/>
          </w:tcPr>
          <w:p>
            <w:r>
              <w:t>string</w:t>
            </w:r>
          </w:p>
        </w:tc>
        <w:tc>
          <w:tcPr>
            <w:tcW w:type="dxa" w:w="1417"/>
          </w:tcPr>
          <w:p>
            <w:r>
              <w:t>0..1</w:t>
            </w:r>
          </w:p>
        </w:tc>
        <w:tc>
          <w:tcPr>
            <w:tcW w:type="dxa" w:w="4535"/>
          </w:tcPr>
          <w:p>
            <w:r>
              <w:t xml:space="preserve">A valoriser avec le point kilométrique de l'autoroute, de la voie ferrée ou voie navigable. </w:t>
            </w:r>
          </w:p>
        </w:tc>
        <w:tc>
          <w:tcPr>
            <w:tcW w:type="dxa" w:w="1701"/>
          </w:tcPr>
          <w:p>
            <w:r/>
          </w:p>
        </w:tc>
      </w:tr>
      <w:tr>
        <w:tc>
          <w:tcPr>
            <w:tcW w:type="dxa" w:w="1701"/>
          </w:tcPr>
          <w:p>
            <w:r>
              <w:t>direction</w:t>
            </w:r>
          </w:p>
        </w:tc>
        <w:tc>
          <w:tcPr>
            <w:tcW w:type="dxa" w:w="1984"/>
          </w:tcPr>
          <w:p>
            <w:r>
              <w:t>Sens</w:t>
            </w:r>
          </w:p>
        </w:tc>
        <w:tc>
          <w:tcPr>
            <w:tcW w:type="dxa" w:w="1134"/>
          </w:tcPr>
          <w:p>
            <w:r>
              <w:t>string</w:t>
            </w:r>
          </w:p>
        </w:tc>
        <w:tc>
          <w:tcPr>
            <w:tcW w:type="dxa" w:w="1417"/>
          </w:tcPr>
          <w:p>
            <w:r>
              <w:t>0..1</w:t>
            </w:r>
          </w:p>
        </w:tc>
        <w:tc>
          <w:tcPr>
            <w:tcW w:type="dxa" w:w="4535"/>
          </w:tcPr>
          <w:p>
            <w:r>
              <w:t>A valoriser avec le sens de l'autoroute.</w:t>
            </w:r>
          </w:p>
        </w:tc>
        <w:tc>
          <w:tcPr>
            <w:tcW w:type="dxa" w:w="1701"/>
          </w:tcPr>
          <w:p>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r>
        <w:tc>
          <w:tcPr>
            <w:tcW w:type="dxa" w:w="1701"/>
          </w:tcPr>
          <w:p>
            <w:r>
              <w:t>aml</w:t>
            </w:r>
          </w:p>
        </w:tc>
        <w:tc>
          <w:tcPr>
            <w:tcW w:type="dxa" w:w="1984"/>
          </w:tcPr>
          <w:p>
            <w:r>
              <w:t>Dipositif AML</w:t>
            </w:r>
          </w:p>
        </w:tc>
        <w:tc>
          <w:tcPr>
            <w:tcW w:type="dxa" w:w="1134"/>
          </w:tcPr>
          <w:p>
            <w:r>
              <w:t>boolean</w:t>
            </w:r>
          </w:p>
        </w:tc>
        <w:tc>
          <w:tcPr>
            <w:tcW w:type="dxa" w:w="1417"/>
          </w:tcPr>
          <w:p>
            <w:r>
              <w:t>0..1</w:t>
            </w:r>
          </w:p>
        </w:tc>
        <w:tc>
          <w:tcPr>
            <w:tcW w:type="dxa" w:w="4535"/>
          </w:tcPr>
          <w:p>
            <w:r>
              <w:t xml:space="preserve">Attribut qui permet de préciser si les coordonnées fournies proviennent du dispositif AML (Advanced Mobile Location) -TRUE - ou non - FALSE. </w:t>
            </w:r>
          </w:p>
        </w:tc>
        <w:tc>
          <w:tcPr>
            <w:tcW w:type="dxa" w:w="1701"/>
          </w:tcPr>
          <w:p>
            <w:r>
              <w:t>TRUE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A valoriser avec le type de l'URI utilisée : TEL, EMAIL, FAX, POSTAL, WEB, RADIO</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Objet qui permet de décrire l'ensemble des identifiants qui permettent d'identifier le patient (autre que le matricule INS, qui ne doit jamais être partagé via cet objet)</w:t>
            </w:r>
          </w:p>
        </w:tc>
        <w:tc>
          <w:tcPr>
            <w:tcW w:type="dxa" w:w="1701"/>
          </w:tcPr>
          <w:p>
            <w:r/>
          </w:p>
        </w:tc>
      </w:tr>
    </w:tbl>
    <w:p>
      <w:pPr>
        <w:pStyle w:val="Heading1"/>
      </w:pPr>
      <w:r>
        <w:t>Type 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Objet qui permet de décrire les traits stricts de l'identité du patient</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Objet qui permet de décrire les traits stricts de l'identité du patient, c’est-à-dire le nom et le prénom usuels du patient.</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A valoriser avec le 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A valoriser avec la taille en centimètres du patient</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 valoriser avec l'age du patient.</w:t>
              <w:br/>
              <w:t>Au format "Durée" de la norme ISO 8601 (https://fr.wikipedia.org/wiki/ISO_8601#Dur%C3%A9e) et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 du patient</w:t>
            </w:r>
          </w:p>
        </w:tc>
        <w:tc>
          <w:tcPr>
            <w:tcW w:type="dxa" w:w="1134"/>
          </w:tcPr>
          <w:p>
            <w:r>
              <w:t>string</w:t>
              <w:br/>
              <w:t>(NOMENCLATURE: SI-SAMU-GRAVITE)</w:t>
            </w:r>
          </w:p>
        </w:tc>
        <w:tc>
          <w:tcPr>
            <w:tcW w:type="dxa" w:w="1417"/>
          </w:tcPr>
          <w:p>
            <w:r>
              <w:t>0..1</w:t>
            </w:r>
          </w:p>
        </w:tc>
        <w:tc>
          <w:tcPr>
            <w:tcW w:type="dxa" w:w="4535"/>
          </w:tcPr>
          <w:p>
            <w:r>
              <w:t>A valoriser avec le niveau de soins spécifique au patient</w:t>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Hypothèse diagnostique principale émise par le médecin régulateur du CRAA. Norme CIM11.</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Hypothèses diagnostiques secondaires émises par le médecin régulateur du CRAA. Norme CIM11.</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A valoriser avec le nom de naissance du patient. Egalement appelé nom de famille.</w:t>
            </w:r>
          </w:p>
        </w:tc>
        <w:tc>
          <w:tcPr>
            <w:tcW w:type="dxa" w:w="1701"/>
          </w:tcPr>
          <w:p>
            <w:r>
              <w:t>Dupont</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A valoriser avec la 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A valoriser avec le sexe du patient</w:t>
            </w:r>
          </w:p>
        </w:tc>
        <w:tc>
          <w:tcPr>
            <w:tcW w:type="dxa" w:w="1701"/>
          </w:tcPr>
          <w:p>
            <w:r>
              <w:t>F</w:t>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A valoriser avec le prénom et le nom de l'opérateur</w:t>
            </w:r>
          </w:p>
        </w:tc>
        <w:tc>
          <w:tcPr>
            <w:tcW w:type="dxa" w:w="1701"/>
          </w:tcPr>
          <w:p>
            <w:r/>
          </w:p>
        </w:tc>
      </w:tr>
      <w:tr>
        <w:tc>
          <w:tcPr>
            <w:tcW w:type="dxa" w:w="1701"/>
          </w:tcPr>
          <w:p>
            <w:r>
              <w:t>role</w:t>
            </w:r>
          </w:p>
        </w:tc>
        <w:tc>
          <w:tcPr>
            <w:tcW w:type="dxa" w:w="1984"/>
          </w:tcPr>
          <w:p>
            <w:r>
              <w:t>Rôle</w:t>
            </w:r>
          </w:p>
        </w:tc>
        <w:tc>
          <w:tcPr>
            <w:tcW w:type="dxa" w:w="1134"/>
          </w:tcPr>
          <w:p>
            <w:r>
              <w:t>string</w:t>
              <w:br/>
              <w:t>(ENUM: AMBULANCIER, ARM, INFIRMIER, MEDECIN, INCONNU, AUTRE)</w:t>
            </w:r>
          </w:p>
        </w:tc>
        <w:tc>
          <w:tcPr>
            <w:tcW w:type="dxa" w:w="1417"/>
          </w:tcPr>
          <w:p>
            <w:r>
              <w:t>1..1</w:t>
            </w:r>
          </w:p>
        </w:tc>
        <w:tc>
          <w:tcPr>
            <w:tcW w:type="dxa" w:w="4535"/>
          </w:tcPr>
          <w:p>
            <w:r>
              <w:t xml:space="preserve">A valoriser avec le rôle de l'opérateur au sein de l'entité émettrice du message : </w:t>
            </w:r>
          </w:p>
        </w:tc>
        <w:tc>
          <w:tcPr>
            <w:tcW w:type="dxa" w:w="1701"/>
          </w:tcPr>
          <w:p>
            <w:r>
              <w:t>ARM</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