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destinataire le dossier doit être adressé/affiché, lorsque celle-ci est spécifique ou dédiée.</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A valoriser en indiquant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Attribut qui permet de transférer la prise en charge d'un dossier à un autre CRAA -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A valoriser avec le 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pluiseurs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 partagé du patient concerné, lorsque le patient existe et est identifié dans le système emetteur, valorisé comme suit pour un CRRA : </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Identifiant unique de l'observation, valorisé comme suit : {caseID}.medicalNote.{ID unique de l'observation dans le système émetteur}</w:t>
              <w:br/>
            </w:r>
          </w:p>
        </w:tc>
        <w:tc>
          <w:tcPr>
            <w:tcW w:type="dxa" w:w="1701"/>
          </w:tcPr>
          <w:p>
            <w:r>
              <w:t>fr.health.samu540.DRFR15DDXAAJJJ00001.medicalNote.46585A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différents pour chaque patient, on indique ici le niveau le plus grave.</w:t>
              <w:br/>
              <w:t>cf.nomenclature associée.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t xml:space="preserve">Objet qui permet de transmettre les informations liés à une autoroute. S'utilise aussi pour les voies férées et navigables. </w:t>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t>Exemple  : SIG NexSIS / OSM ont plusieurs types de données -&gt; savoir du quel on parle (POI, tronçon de route, …) pour faciliter le filtre | Aussi table dans une base de données</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l'autoroute, de la voie ferrée ou voie navigable.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 xml:space="preserve">A valoriser avec le point kilométrique de l'autoroute, de la voie ferrée ou voie navigable. </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A valoriser avec le sens de l'autoroute.</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Attribut qui permet de préciser si les coordonnées fournies proviennent du dispositif AML (Advanced Mobile Location) -TRUE - ou non - FALSE. </w:t>
            </w:r>
          </w:p>
        </w:tc>
        <w:tc>
          <w:tcPr>
            <w:tcW w:type="dxa" w:w="1701"/>
          </w:tcPr>
          <w:p>
            <w:r>
              <w:t>TRUE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