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ressource</w:t>
            </w:r>
          </w:p>
        </w:tc>
        <w:tc>
          <w:tcPr>
            <w:tcW w:type="dxa" w:w="1134"/>
          </w:tcPr>
          <w:p>
            <w:r>
              <w:t>string</w:t>
              <w:br/>
              <w:t>(NOMENCLATURE: SI-SAMU-TYPE_MOYEN)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CISU-TYPE_VECTEUR)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teamCare</w:t>
            </w:r>
          </w:p>
        </w:tc>
        <w:tc>
          <w:tcPr>
            <w:tcW w:type="dxa" w:w="1984"/>
          </w:tcPr>
          <w:p>
            <w:r>
              <w:t>Niveau de prise en charge</w:t>
            </w:r>
          </w:p>
        </w:tc>
        <w:tc>
          <w:tcPr>
            <w:tcW w:type="dxa" w:w="1134"/>
          </w:tcPr>
          <w:p>
            <w:r>
              <w:t>string</w:t>
              <w:br/>
              <w:t>(NOMENCLATURE: SI-SAMU-NIVSOIN)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