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(ENUM: 15, 18, 17, 112, 116117)</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CISU-TYPE_MOYEN)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