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Nature de fait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HubSante.risque)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HubSante.motif)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HubSante.attribution)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A valoriser avec le nom de l'entrée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HubSante.langue)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HubSante.typeAppelant)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HubSante.communication)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