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createCaseHealthWrapper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createCaseHealth</w:t>
            </w:r>
          </w:p>
        </w:tc>
        <w:tc>
          <w:tcPr>
            <w:tcW w:type="dxa" w:w="1984"/>
          </w:tcPr>
          <w:p>
            <w:r>
              <w:t>Objet createCase</w:t>
            </w:r>
          </w:p>
        </w:tc>
        <w:tc>
          <w:tcPr>
            <w:tcW w:type="dxa" w:w="1134"/>
          </w:tcPr>
          <w:p>
            <w:r>
              <w:t>cf. type createCaseHealth</w:t>
            </w:r>
          </w:p>
        </w:tc>
        <w:tc>
          <w:tcPr>
            <w:tcW w:type="dxa" w:w="1417"/>
          </w:tcPr>
          <w:p>
            <w:r>
              <w:t>1..1</w:t>
            </w:r>
          </w:p>
        </w:tc>
        <w:tc>
          <w:tcPr>
            <w:tcW w:type="dxa" w:w="4535"/>
          </w:tcPr>
          <w:p>
            <w:r>
              <w:t>Object createCase</w:t>
            </w:r>
          </w:p>
        </w:tc>
        <w:tc>
          <w:tcPr>
            <w:tcW w:type="dxa" w:w="1701"/>
          </w:tcPr>
          <w:p>
            <w:r/>
          </w:p>
        </w:tc>
      </w:tr>
    </w:tbl>
    <w:p>
      <w:pPr>
        <w:pStyle w:val="Heading1"/>
      </w:pPr>
      <w:r>
        <w:t>Type 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Médecin référent, etc) pour le traitement d'un dossier.</w:t>
            </w:r>
          </w:p>
        </w:tc>
        <w:tc>
          <w:tcPr>
            <w:tcW w:type="dxa" w:w="1701"/>
          </w:tcPr>
          <w:p>
            <w:r/>
          </w:p>
        </w:tc>
      </w:tr>
      <w:tr>
        <w:tc>
          <w:tcPr>
            <w:tcW w:type="dxa" w:w="1701"/>
          </w:tcPr>
          <w:p>
            <w:r>
              <w:t>patient</w:t>
            </w:r>
          </w:p>
        </w:tc>
        <w:tc>
          <w:tcPr>
            <w:tcW w:type="dxa" w:w="1984"/>
          </w:tcPr>
          <w:p>
            <w:r>
              <w:t>Patients / victimes</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medicalAnalysis</w:t>
            </w:r>
          </w:p>
        </w:tc>
        <w:tc>
          <w:tcPr>
            <w:tcW w:type="dxa" w:w="1984"/>
          </w:tcPr>
          <w:p>
            <w:r>
              <w:t>Régulation médicale</w:t>
            </w:r>
          </w:p>
        </w:tc>
        <w:tc>
          <w:tcPr>
            <w:tcW w:type="dxa" w:w="1134"/>
          </w:tcPr>
          <w:p>
            <w:r>
              <w:t>cf. type medicalAnalysis</w:t>
            </w:r>
          </w:p>
        </w:tc>
        <w:tc>
          <w:tcPr>
            <w:tcW w:type="dxa" w:w="1417"/>
          </w:tcPr>
          <w:p>
            <w:r>
              <w:t>0..n</w:t>
            </w:r>
          </w:p>
        </w:tc>
        <w:tc>
          <w:tcPr>
            <w:tcW w:type="dxa" w:w="4535"/>
          </w:tcPr>
          <w:p>
            <w:r>
              <w:t>Données spécifiques à la régulation médicale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nomenclature</w:t>
            </w:r>
          </w:p>
        </w:tc>
        <w:tc>
          <w:tcPr>
            <w:tcW w:type="dxa" w:w="1417"/>
          </w:tcPr>
          <w:p>
            <w:r>
              <w:t>0..1</w:t>
            </w:r>
          </w:p>
        </w:tc>
        <w:tc>
          <w:tcPr>
            <w:tcW w:type="dxa" w:w="4535"/>
          </w:tcPr>
          <w:p>
            <w:r>
              <w:t>Diagnostic posé par le médecin effecteur qui se trouve sur les lieux de l'affaire, ou diagnostic par le médecin régulateur après avoir reçu le retour de l'effecteur</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bl>
    <w:p>
      <w:pPr>
        <w:pStyle w:val="Heading1"/>
      </w:pPr>
      <w:r>
        <w:t>Type medicalAnalysis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patientId</w:t>
            </w:r>
          </w:p>
        </w:tc>
        <w:tc>
          <w:tcPr>
            <w:tcW w:type="dxa" w:w="1984"/>
          </w:tcPr>
          <w:p>
            <w:r>
              <w:t>ID patient partagé</w:t>
            </w:r>
          </w:p>
        </w:tc>
        <w:tc>
          <w:tcPr>
            <w:tcW w:type="dxa" w:w="1134"/>
          </w:tcPr>
          <w:p>
            <w:r>
              <w:t>string</w:t>
            </w:r>
          </w:p>
        </w:tc>
        <w:tc>
          <w:tcPr>
            <w:tcW w:type="dxa" w:w="1417"/>
          </w:tcPr>
          <w:p>
            <w:r>
              <w:t>0..1</w:t>
            </w:r>
          </w:p>
        </w:tc>
        <w:tc>
          <w:tcPr>
            <w:tcW w:type="dxa" w:w="4535"/>
          </w:tcPr>
          <w:p>
            <w:r>
              <w:t>ID du patient concerné, lorsque le patient existe et est identifié</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cf. cycle SI SAMU uniquement (si applicable) : échanger l'état du dossier si le cycle de vie du dossier est implémenté de manière conforme au cycle de vie du dossier SI-SAMU</w:t>
            </w:r>
          </w:p>
        </w:tc>
        <w:tc>
          <w:tcPr>
            <w:tcW w:type="dxa" w:w="1701"/>
          </w:tcPr>
          <w:p>
            <w:r/>
          </w:p>
        </w:tc>
      </w:tr>
      <w:tr>
        <w:tc>
          <w:tcPr>
            <w:tcW w:type="dxa" w:w="1701"/>
          </w:tcPr>
          <w:p>
            <w:r>
              <w:t>type</w:t>
            </w:r>
          </w:p>
        </w:tc>
        <w:tc>
          <w:tcPr>
            <w:tcW w:type="dxa" w:w="1984"/>
          </w:tcPr>
          <w:p>
            <w:r>
              <w:t>Type de dossier</w:t>
            </w:r>
          </w:p>
        </w:tc>
        <w:tc>
          <w:tcPr>
            <w:tcW w:type="dxa" w:w="1134"/>
          </w:tcPr>
          <w:p>
            <w:r>
              <w:t>string</w:t>
              <w:br/>
              <w:t xml:space="preserve">(ENUM : D, DR, DRM </w:t>
              <w:br/>
              <w:t>NOMENC_TYPEDOS)</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 xml:space="preserve">médecin urgentiste </w:t>
            </w:r>
          </w:p>
        </w:tc>
      </w:tr>
      <w:tr>
        <w:tc>
          <w:tcPr>
            <w:tcW w:type="dxa" w:w="1701"/>
          </w:tcPr>
          <w:p>
            <w:r>
              <w:t>priority</w:t>
            </w:r>
          </w:p>
        </w:tc>
        <w:tc>
          <w:tcPr>
            <w:tcW w:type="dxa" w:w="1984"/>
          </w:tcPr>
          <w:p>
            <w:r>
              <w:t>Priorité de régulation médicale</w:t>
            </w:r>
          </w:p>
        </w:tc>
        <w:tc>
          <w:tcPr>
            <w:tcW w:type="dxa" w:w="1134"/>
          </w:tcPr>
          <w:p>
            <w:r>
              <w:t>string</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w:t>
            </w:r>
          </w:p>
        </w:tc>
        <w:tc>
          <w:tcPr>
            <w:tcW w:type="dxa" w:w="1417"/>
          </w:tcPr>
          <w:p>
            <w:r>
              <w:t>0..1</w:t>
            </w:r>
          </w:p>
        </w:tc>
        <w:tc>
          <w:tcPr>
            <w:tcW w:type="dxa" w:w="4535"/>
          </w:tcPr>
          <w:p>
            <w:r>
              <w:t>Age du patient (Norme ISO_8601)</w:t>
            </w:r>
          </w:p>
        </w:tc>
        <w:tc>
          <w:tcPr>
            <w:tcW w:type="dxa" w:w="1701"/>
          </w:tcPr>
          <w:p>
            <w:r>
              <w:t>6Y</w:t>
            </w:r>
          </w:p>
        </w:tc>
      </w:tr>
      <w:tr>
        <w:tc>
          <w:tcPr>
            <w:tcW w:type="dxa" w:w="1701"/>
          </w:tcPr>
          <w:p>
            <w:r>
              <w:t>careLevel</w:t>
            </w:r>
          </w:p>
        </w:tc>
        <w:tc>
          <w:tcPr>
            <w:tcW w:type="dxa" w:w="1984"/>
          </w:tcPr>
          <w:p>
            <w:r>
              <w:t>Niveau de soin</w:t>
            </w:r>
          </w:p>
        </w:tc>
        <w:tc>
          <w:tcPr>
            <w:tcW w:type="dxa" w:w="1134"/>
          </w:tcPr>
          <w:p>
            <w:r>
              <w:t>string</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nomenclature</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nomenclature</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t>Nom de l'établissement</w:t>
            </w:r>
          </w:p>
        </w:tc>
        <w:tc>
          <w:tcPr>
            <w:tcW w:type="dxa" w:w="1701"/>
          </w:tcPr>
          <w:p>
            <w:r/>
          </w:p>
        </w:tc>
      </w:tr>
      <w:tr>
        <w:tc>
          <w:tcPr>
            <w:tcW w:type="dxa" w:w="1701"/>
          </w:tcPr>
          <w:p>
            <w:r>
              <w:t>adminFiness</w:t>
            </w:r>
          </w:p>
        </w:tc>
        <w:tc>
          <w:tcPr>
            <w:tcW w:type="dxa" w:w="1984"/>
          </w:tcPr>
          <w:p>
            <w:r>
              <w:t>FINESS administratif</w:t>
            </w:r>
          </w:p>
        </w:tc>
        <w:tc>
          <w:tcPr>
            <w:tcW w:type="dxa" w:w="1134"/>
          </w:tcPr>
          <w:p>
            <w:r>
              <w:t>string</w:t>
            </w:r>
          </w:p>
        </w:tc>
        <w:tc>
          <w:tcPr>
            <w:tcW w:type="dxa" w:w="1417"/>
          </w:tcPr>
          <w:p>
            <w:r>
              <w:t>0..1</w:t>
            </w:r>
          </w:p>
        </w:tc>
        <w:tc>
          <w:tcPr>
            <w:tcW w:type="dxa" w:w="4535"/>
          </w:tcPr>
          <w:p>
            <w:r>
              <w:t>N° Finess administratif de l'établissement</w:t>
            </w:r>
          </w:p>
        </w:tc>
        <w:tc>
          <w:tcPr>
            <w:tcW w:type="dxa" w:w="1701"/>
          </w:tcPr>
          <w:p>
            <w:r/>
          </w:p>
        </w:tc>
      </w:tr>
      <w:tr>
        <w:tc>
          <w:tcPr>
            <w:tcW w:type="dxa" w:w="1701"/>
          </w:tcPr>
          <w:p>
            <w:r>
              <w:t>geoFiness</w:t>
            </w:r>
          </w:p>
        </w:tc>
        <w:tc>
          <w:tcPr>
            <w:tcW w:type="dxa" w:w="1984"/>
          </w:tcPr>
          <w:p>
            <w:r>
              <w:t>FINESS géographique</w:t>
            </w:r>
          </w:p>
        </w:tc>
        <w:tc>
          <w:tcPr>
            <w:tcW w:type="dxa" w:w="1134"/>
          </w:tcPr>
          <w:p>
            <w:r>
              <w:t>string</w:t>
            </w:r>
          </w:p>
        </w:tc>
        <w:tc>
          <w:tcPr>
            <w:tcW w:type="dxa" w:w="1417"/>
          </w:tcPr>
          <w:p>
            <w:r>
              <w:t>0..1</w:t>
            </w:r>
          </w:p>
        </w:tc>
        <w:tc>
          <w:tcPr>
            <w:tcW w:type="dxa" w:w="4535"/>
          </w:tcPr>
          <w:p>
            <w:r>
              <w:t>N° Finess géographique de l'établissement</w:t>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t>Service concerné par l'admission du patient</w:t>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