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peremt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patientStatus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devenir du patient (cf. nomenclature associée)</w:t>
            </w:r>
          </w:p>
        </w:tc>
        <w:tc>
          <w:tcPr>
            <w:tcW w:type="dxa" w:w="1701"/>
          </w:tcPr>
          <w:p>
            <w:r>
              <w:t>laissé sur place, décédé, ou transporté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engagementDetails</w:t>
            </w:r>
          </w:p>
        </w:tc>
        <w:tc>
          <w:tcPr>
            <w:tcW w:type="dxa" w:w="1984"/>
          </w:tcPr>
          <w:p>
            <w:r>
              <w:t>Détails décision d'intervention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transportDetails</w:t>
            </w:r>
          </w:p>
        </w:tc>
        <w:tc>
          <w:tcPr>
            <w:tcW w:type="dxa" w:w="1984"/>
          </w:tcPr>
          <w:p>
            <w:r>
              <w:t>Détails décisions de transport et/ou d'orientation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 chaque CRRA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decisionDetails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ressource souhaité / demandé (cf.nomenclature associée)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teamCareInitial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prise en charge souhaité (cf.nomenclature associée)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détailler la destination du vecteur de transport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(cf. nomenclature associée)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