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resourcesEngagement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^fr(\.[\w-]+){3,4}$)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l'identifiant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mobilizedResource</w:t>
            </w:r>
          </w:p>
        </w:tc>
        <w:tc>
          <w:tcPr>
            <w:tcW w:type="dxa" w:w="1984"/>
          </w:tcPr>
          <w:p>
            <w:r>
              <w:t>Ressource engagée / à engager</w:t>
            </w:r>
          </w:p>
        </w:tc>
        <w:tc>
          <w:tcPr>
            <w:tcW w:type="dxa" w:w="1134"/>
          </w:tcPr>
          <w:p>
            <w:r>
              <w:t>cf. type resource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>Objet permettant de communquer la liste des ressource et vecteurs mobilisés en 15-15 et 15-SMUR pour le message RS-RI</w:t>
              <w:br/>
              <w:t>Objet permettant de communiquer la liste des ressources à engager en 15-SMUR pour le message RS-ER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resource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déclenchement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date et heure d'engagement de la ressource/du vecteur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vehiculeType</w:t>
            </w:r>
          </w:p>
        </w:tc>
        <w:tc>
          <w:tcPr>
            <w:tcW w:type="dxa" w:w="1984"/>
          </w:tcPr>
          <w:p>
            <w:r>
              <w:t>Type de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SI-SAMU-TYPE_VECTEUR)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vecteur mobilisé : cf. nomenclature associée</w:t>
            </w:r>
          </w:p>
        </w:tc>
        <w:tc>
          <w:tcPr>
            <w:tcW w:type="dxa" w:w="1701"/>
          </w:tcPr>
          <w:p>
            <w:r>
              <w:t>VLM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du vecteur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donné à la ressource par l’organisation d’appartenance</w:t>
            </w:r>
          </w:p>
        </w:tc>
        <w:tc>
          <w:tcPr>
            <w:tcW w:type="dxa" w:w="1701"/>
          </w:tcPr>
          <w:p>
            <w:r>
              <w:t>SMUR 123</w:t>
            </w:r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Equipe vecteur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décrit l'équipe à bord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Texte libre permettant de passer toute autre information sur la ressource (équipements supplémentaires / spécifiques, particularités du vecteur, etc.)</w:t>
            </w:r>
          </w:p>
        </w:tc>
        <w:tc>
          <w:tcPr>
            <w:tcW w:type="dxa" w:w="1701"/>
          </w:tcPr>
          <w:p>
            <w:r>
              <w:t>SMUR pédiatrique</w:t>
            </w:r>
          </w:p>
        </w:tc>
      </w:tr>
    </w:tbl>
    <w:p>
      <w:pPr>
        <w:pStyle w:val="Heading1"/>
      </w:pPr>
      <w:r>
        <w:t>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teamCare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SI-SAMU-NIVSOIN)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 niveau de médicalisation du vecteur. Cf. nomenclature associée</w:t>
            </w:r>
          </w:p>
        </w:tc>
        <w:tc>
          <w:tcPr>
            <w:tcW w:type="dxa" w:w="1701"/>
          </w:tcPr>
          <w:p>
            <w:r>
              <w:t>MED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l'équipe à bord du vecteur (celui communiqué par l'organisation à laquelle l'équipe appartient)</w:t>
            </w:r>
          </w:p>
        </w:tc>
        <w:tc>
          <w:tcPr>
            <w:tcW w:type="dxa" w:w="1701"/>
          </w:tcPr>
          <w:p>
            <w:r>
              <w:t>Equipe A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