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partagé unique de la ressource engagée, valorisé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{orgID}.resource.{ID du dossier partagé}.{numéro d’ordre chronologique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RSDRId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partagé de la demande de ressource (si la ressource a été engagée suite à une demande de ressource), valorisé comme suit :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