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^([\w-]+\.){3,4}request(\.[\w-]+){1,2}$)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yype de ressource mobilisée : cf.nomenclature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n° d'immatriculation du vecteur</w:t>
            </w:r>
          </w:p>
        </w:tc>
        <w:tc>
          <w:tcPr>
            <w:tcW w:type="dxa" w:w="1701"/>
          </w:tcPr>
          <w:p>
            <w:r>
              <w:t>AB-123-CD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l'historique des états connu du vecteur mobilisé - et à minima le dernier état connu.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