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RS-RI:15-15:resourcesInfo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 partagé unique de la ressource engagée, valorisé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unique partagé de la demande de ressource (si la ressource a été engagée suite à une demande de ressource), valorisé comme suit :</w:t>
              <w:br/>
              <w:t>{orgID}.request.{ID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: Smur, Hospitaliers (hors Smur), Professionnels Libéraux, Ambulanciers privés (Transporteurs Sanitaires Urgent), etc.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moyen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vecteur mobilisé : Véhicule Léger Médicalisé, Ambulance de réanimation, Ambulance de réanimation Bariatrique, Ambulance de réanimation Pédiatrique, etc.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N° d'immatriculation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Status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Dernier statut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 degré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en km/h, notamment fournie par eCall, tel, nouveau AML, …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