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RS-RI:15-15:resourcesInfo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 partagé unique de la ressource engagée, valorisé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unique partagé de la demande de ressource (si la ressource a été engagée suite à une demande de ressource), valorisé comme suit :</w:t>
              <w:br/>
              <w:t>{orgID}.request.{ID unique de la demande dans le système émetteur}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: Smur, Hospitaliers (hors Smur), Professionnels Libéraux, Ambulanciers privés (Transporteurs Sanitaires Urgent), etc.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moyen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vecteur mobilisé : Véhicule Léger Médicalisé, Ambulance de réanimation, Ambulance de réanimation Bariatrique, Ambulance de réanimation Pédiatrique, etc.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N° d'immatriculation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particuliers, particularités du vecteur)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Status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(ENUM: ALERTE, PARTI, ARRIVEE SUR LES LIEUX, TRANSPORT DESTINATION, ARRIVEE DESTINATION, FIN DE MEDICALISATION , QUITTE DESTINATION, RETOUR BASE, RENTREE BASE)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Dernier statut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 degré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en km/h, notamment fournie par eCall, tel, nouveau AML, …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ADDRESS</w:t>
            </w:r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