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unique de la ressource engagée partagée </w:t>
              <w:br/>
              <w:t>{orgID}.{ID unique de la ressource partagée}</w:t>
              <w:br/>
              <w:t>Ou, uniquement dans le cas où un ID unique de ressource ne peut pas être garanti par l'organisation propriétaire :</w:t>
              <w:br/>
              <w:t>{orgID}.{ID du dossier partagé}.R{numéro d’ordre chronologique ressource}</w:t>
            </w:r>
          </w:p>
        </w:tc>
        <w:tc>
          <w:tcPr>
            <w:tcW w:type="dxa" w:w="1701"/>
          </w:tcPr>
          <w:p>
            <w:r>
              <w:t>fr.health.samu440.DRFR15DDXAAJJJ0000.R01</w:t>
              <w:br/>
              <w:t>fr.health.samu440.VLM16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INCONNUE</w:t>
              <w:br/>
              <w:t>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