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RS-RIG:15-15:resourcesInfo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unique de la ressource engagée partagée = aux champs {orgID}.R.{ownerID}</w:t>
            </w:r>
          </w:p>
        </w:tc>
        <w:tc>
          <w:tcPr>
            <w:tcW w:type="dxa" w:w="1701"/>
          </w:tcPr>
          <w:p>
            <w:r>
              <w:t>fr.health.samu440.R.123456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centerType</w:t>
            </w:r>
          </w:p>
        </w:tc>
        <w:tc>
          <w:tcPr>
            <w:tcW w:type="dxa" w:w="1984"/>
          </w:tcPr>
          <w:p>
            <w:r>
              <w:t>Type de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 de la ressource, notamment s'il est différent du lieu d'intervention du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Paramedicale)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sante, Autres services d’un établissement de sante, Cabinet d’un professionnel de sante, Domicile personnel, EPHAD ou long séjour,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