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RS-RIG:15-15:resourcesInfo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unique de la ressource engagée partagée </w:t>
              <w:br/>
              <w:t>{orgID}.{ID du dossier partagé}.R{numéro d’ordre chronologique}</w:t>
            </w:r>
          </w:p>
        </w:tc>
        <w:tc>
          <w:tcPr>
            <w:tcW w:type="dxa" w:w="1701"/>
          </w:tcPr>
          <w:p>
            <w:r>
              <w:t>fr.health.samu440.DRFR15DDXAAJJJ0000.R01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 de la ressource, notamment s'il est différent du lieu d'intervention du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sante, Autres services d’un établissement de sante, Cabinet d’un professionnel de sante, Domicile personnel, EPHAD ou long séjour,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