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RS-RR:15-15:resourcesResponse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de l'affaire partagé entre tous les intervenants = aux champs {organization}.{senderCaseId}.</w:t>
              <w:br/>
              <w:t xml:space="preserve">Il doit pouvoir être généré de façon unique et décentralisée et ne présenter aucune ambiguïté. </w:t>
              <w:br/>
              <w:t>Il est généré par le système du partenaire récepteur de la primo-demande de secours (créateur du dossier).</w:t>
              <w:br/>
              <w:t>Valorisation : {pays}.{domaine}.{organisation}.{structure interne}*.{unité fonctionnelle}*.{numéro de dossier}</w:t>
            </w:r>
          </w:p>
        </w:tc>
        <w:tc>
          <w:tcPr>
            <w:tcW w:type="dxa" w:w="1701"/>
          </w:tcPr>
          <w:p>
            <w:r>
              <w:t>fr.health.samu440.DRFR15DDXAAJJJ0000</w:t>
            </w:r>
          </w:p>
        </w:tc>
      </w:tr>
      <w:tr>
        <w:tc>
          <w:tcPr>
            <w:tcW w:type="dxa" w:w="1701"/>
          </w:tcPr>
          <w:p>
            <w:r>
              <w:t>RSDRId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partagé de la demande de ressource</w:t>
              <w:br/>
              <w:t>{orgID}.D.{ID unique de la demande dans le système émetteur}</w:t>
            </w:r>
          </w:p>
        </w:tc>
        <w:tc>
          <w:tcPr>
            <w:tcW w:type="dxa" w:w="1701"/>
          </w:tcPr>
          <w:p>
            <w:r>
              <w:t>fr.health.samu770.D.1249875</w:t>
            </w:r>
          </w:p>
        </w:tc>
      </w:tr>
      <w:tr>
        <w:tc>
          <w:tcPr>
            <w:tcW w:type="dxa" w:w="1701"/>
          </w:tcPr>
          <w:p>
            <w:r>
              <w:t>requestResponse</w:t>
            </w:r>
          </w:p>
        </w:tc>
        <w:tc>
          <w:tcPr>
            <w:tcW w:type="dxa" w:w="1984"/>
          </w:tcPr>
          <w:p>
            <w:r>
              <w:t>Réponse à la demande de ressources</w:t>
            </w:r>
          </w:p>
        </w:tc>
        <w:tc>
          <w:tcPr>
            <w:tcW w:type="dxa" w:w="1134"/>
          </w:tcPr>
          <w:p>
            <w:r>
              <w:t>cf. type response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Groupe date heure de début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Type response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réponse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Voir liste des effets à obtenir identifiés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answer</w:t>
            </w:r>
          </w:p>
        </w:tc>
        <w:tc>
          <w:tcPr>
            <w:tcW w:type="dxa" w:w="1984"/>
          </w:tcPr>
          <w:p>
            <w:r>
              <w:t>Réponse</w:t>
            </w:r>
          </w:p>
        </w:tc>
        <w:tc>
          <w:tcPr>
            <w:tcW w:type="dxa" w:w="1134"/>
          </w:tcPr>
          <w:p>
            <w:r>
              <w:t>string</w:t>
              <w:br/>
              <w:t>(ENUM : ACCEPTEE, REFUSEE, PARTIELLE, DIFFEREE)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oui / non / oui partiel / différé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de réponse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délai de réponse auquel s'engage l'expéditeur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réponse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Commentaire libre pour apporter toutes précisions utiles à la réponse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