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RSDRId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requestResponse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(ENUM: ACCEPTEE, REFUSEE, PARTIELLE, DIFFEREE)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