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resourcesStatus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caseId</w:t>
            </w:r>
          </w:p>
        </w:tc>
        <w:tc>
          <w:tcPr>
            <w:tcW w:type="dxa" w:w="1984"/>
          </w:tcPr>
          <w:p>
            <w:r>
              <w:t>Identifiant affaire/dossier</w:t>
            </w:r>
          </w:p>
        </w:tc>
        <w:tc>
          <w:tcPr>
            <w:tcW w:type="dxa" w:w="1134"/>
          </w:tcPr>
          <w:p>
            <w:r>
              <w:t>string</w:t>
              <w:br/>
              <w:t>(REGEX: ^fr(\.[\w-]+){3,4}$)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A valoriser avec l'identifiant partagé de l'affaire/dossier, généré une seule fois par le système du partenaire qui recoit la primo-demande de secours (créateur du dossier). </w:t>
              <w:br/>
              <w:t xml:space="preserve">Il est valorisé comme suit lors de sa création : </w:t>
              <w:br/>
              <w:t>{pays}.{domaine}.{organisation}.{senderCaseId}</w:t>
              <w:br/>
              <w:br/>
              <w:t>Il doit pouvoir être généré de façon décentralisée et ne présenter aucune ambiguïté.</w:t>
              <w:br/>
              <w:t xml:space="preserve"> Il doit être unique dans l'ensemble des systèmes : le numéro de dossier fourni par celui qui génère l'identifiant partagé doit donc être un numéro unique dans son système.</w:t>
            </w:r>
          </w:p>
        </w:tc>
        <w:tc>
          <w:tcPr>
            <w:tcW w:type="dxa" w:w="1701"/>
          </w:tcPr>
          <w:p>
            <w:r>
              <w:t>fr.health.samu440.DRFR15440241550012</w:t>
            </w:r>
          </w:p>
        </w:tc>
      </w:tr>
      <w:tr>
        <w:tc>
          <w:tcPr>
            <w:tcW w:type="dxa" w:w="1701"/>
          </w:tcPr>
          <w:p>
            <w:r>
              <w:t>resourceId</w:t>
            </w:r>
          </w:p>
        </w:tc>
        <w:tc>
          <w:tcPr>
            <w:tcW w:type="dxa" w:w="1984"/>
          </w:tcPr>
          <w:p>
            <w:r>
              <w:t>ID Ressource partagé</w:t>
            </w:r>
          </w:p>
        </w:tc>
        <w:tc>
          <w:tcPr>
            <w:tcW w:type="dxa" w:w="1134"/>
          </w:tcPr>
          <w:p>
            <w:r>
              <w:t>string</w:t>
              <w:br/>
              <w:t>(REGEX: ^([\w-]+\.){3,4}resource(\.[\w-]+){1,2}$)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l'identifiant partagé unique de la ressource engagée , normé comme suit :</w:t>
              <w:br/>
              <w:t>{orgID}.R.{ID unique de la ressource partagée}</w:t>
              <w:br/>
              <w:t>Ou, uniquement dans le cas où un ID unique de ressource ne peut pas être garanti par l'organisation propriétaire :</w:t>
              <w:br/>
              <w:t>{orgID}.R.{ID du dossier partagé}.{numéro d’ordre chronologique ressource}</w:t>
              <w:br/>
              <w:br/>
              <w:t>N.B. Il s'agit de l'orgId de l'organisation à qui appartient la ressource</w:t>
            </w:r>
          </w:p>
        </w:tc>
        <w:tc>
          <w:tcPr>
            <w:tcW w:type="dxa" w:w="1701"/>
          </w:tcPr>
          <w:p>
            <w:r>
              <w:t>fr.health.samu770.resource.VLM250 ;</w:t>
              <w:br/>
              <w:t>fr.health.samu440.resource.DRFR15DDXAAJJJ0000.1</w:t>
            </w:r>
          </w:p>
        </w:tc>
      </w:tr>
      <w:tr>
        <w:tc>
          <w:tcPr>
            <w:tcW w:type="dxa" w:w="1701"/>
          </w:tcPr>
          <w:p>
            <w:r>
              <w:t>state</w:t>
            </w:r>
          </w:p>
        </w:tc>
        <w:tc>
          <w:tcPr>
            <w:tcW w:type="dxa" w:w="1984"/>
          </w:tcPr>
          <w:p>
            <w:r>
              <w:t>Etats vecteur</w:t>
            </w:r>
          </w:p>
        </w:tc>
        <w:tc>
          <w:tcPr>
            <w:tcW w:type="dxa" w:w="1134"/>
          </w:tcPr>
          <w:p>
            <w:r>
              <w:t>cf. type state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Objet qui permet de décrire l'historique des états connu du vecteur mobilisé - et à minima le dernier état connu. 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state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datetime</w:t>
            </w:r>
          </w:p>
        </w:tc>
        <w:tc>
          <w:tcPr>
            <w:tcW w:type="dxa" w:w="1984"/>
          </w:tcPr>
          <w:p>
            <w:r>
              <w:t>Date/heure de changement de statut</w:t>
            </w:r>
          </w:p>
        </w:tc>
        <w:tc>
          <w:tcPr>
            <w:tcW w:type="dxa" w:w="1134"/>
          </w:tcPr>
          <w:p>
            <w:r>
              <w:t>datetime</w:t>
              <w:br/>
              <w:t>(Format datetime décrit dans le DSF)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la date et heure d'engagement de changement vers le nouveau statut</w:t>
            </w:r>
          </w:p>
        </w:tc>
        <w:tc>
          <w:tcPr>
            <w:tcW w:type="dxa" w:w="1701"/>
          </w:tcPr>
          <w:p>
            <w:r>
              <w:t>2022-09-27T08:23:34+02:00</w:t>
            </w:r>
          </w:p>
        </w:tc>
      </w:tr>
      <w:tr>
        <w:tc>
          <w:tcPr>
            <w:tcW w:type="dxa" w:w="1701"/>
          </w:tcPr>
          <w:p>
            <w:r>
              <w:t>status</w:t>
            </w:r>
          </w:p>
        </w:tc>
        <w:tc>
          <w:tcPr>
            <w:tcW w:type="dxa" w:w="1984"/>
          </w:tcPr>
          <w:p>
            <w:r>
              <w:t>Statut du vecteur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SI-SAMU-STATUS_VECTEUR)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statut du vecteur. Cf nomenclature associée.</w:t>
            </w:r>
          </w:p>
        </w:tc>
        <w:tc>
          <w:tcPr>
            <w:tcW w:type="dxa" w:w="1701"/>
          </w:tcPr>
          <w:p>
            <w:r>
              <w:t>ARRIVE</w:t>
            </w:r>
          </w:p>
        </w:tc>
      </w:tr>
      <w:tr>
        <w:tc>
          <w:tcPr>
            <w:tcW w:type="dxa" w:w="1701"/>
          </w:tcPr>
          <w:p>
            <w:r>
              <w:t>availability</w:t>
            </w:r>
          </w:p>
        </w:tc>
        <w:tc>
          <w:tcPr>
            <w:tcW w:type="dxa" w:w="1984"/>
          </w:tcPr>
          <w:p>
            <w:r>
              <w:t>Disponibilité du vecteur</w:t>
            </w:r>
          </w:p>
        </w:tc>
        <w:tc>
          <w:tcPr>
            <w:tcW w:type="dxa" w:w="1134"/>
          </w:tcPr>
          <w:p>
            <w:r>
              <w:t>boolean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de manière à indiquer la disponibilité du vecteur.</w:t>
              <w:br/>
              <w:t>TRUE = DISPONIBLE</w:t>
              <w:br/>
              <w:t>FALSE = INDISPONIBLE</w:t>
              <w:br/>
              <w:t>VIDE = INCONNU</w:t>
            </w:r>
          </w:p>
        </w:tc>
        <w:tc>
          <w:tcPr>
            <w:tcW w:type="dxa" w:w="1701"/>
          </w:tcPr>
          <w:p>
            <w:r>
              <w:t>FALSE</w:t>
            </w:r>
          </w:p>
        </w:tc>
      </w:tr>
    </w:tbl>
    <w:sectPr w:rsidR="00FC693F" w:rsidRPr="0006063C" w:rsidSect="00034616">
      <w:pgSz w:w="15840" w:h="12240" w:orient="landscape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