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resourcesStatus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resourceId</w:t>
            </w:r>
          </w:p>
        </w:tc>
        <w:tc>
          <w:tcPr>
            <w:tcW w:type="dxa" w:w="1984"/>
          </w:tcPr>
          <w:p>
            <w:r>
              <w:t>ID Ressource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^([\w-]+\.){3,4}resource(\.[\w-]+){1,2}$)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partagé unique de la ressource engagée , normé comme suit :</w:t>
              <w:br/>
              <w:t>{orgID}.R.{ID unique de la ressource partagée}</w:t>
              <w:br/>
              <w:t>Ou, uniquement dans le cas où un ID unique de ressource ne peut pas être garanti par l'organisation propriétaire :</w:t>
              <w:br/>
              <w:t>{orgID}.R.{ID du dossier partagé}.{numéro d’ordre chronologique ressource}</w:t>
              <w:br/>
              <w:br/>
              <w:t>N.B. Il s'agit de l'orgId de l'organisation à qui appartient la ressource</w:t>
            </w:r>
          </w:p>
        </w:tc>
        <w:tc>
          <w:tcPr>
            <w:tcW w:type="dxa" w:w="1701"/>
          </w:tcPr>
          <w:p>
            <w:r>
              <w:t>fr.health.samu770.resource.VLM250 ;</w:t>
              <w:br/>
              <w:t>fr.health.samu440.resource.DRFR15DDXAAJJJ0000.1</w:t>
            </w:r>
          </w:p>
        </w:tc>
      </w:tr>
      <w:tr>
        <w:tc>
          <w:tcPr>
            <w:tcW w:type="dxa" w:w="1701"/>
          </w:tcPr>
          <w:p>
            <w:r>
              <w:t>state</w:t>
            </w:r>
          </w:p>
        </w:tc>
        <w:tc>
          <w:tcPr>
            <w:tcW w:type="dxa" w:w="1984"/>
          </w:tcPr>
          <w:p>
            <w:r>
              <w:t>Etat vecteur</w:t>
            </w:r>
          </w:p>
        </w:tc>
        <w:tc>
          <w:tcPr>
            <w:tcW w:type="dxa" w:w="1134"/>
          </w:tcPr>
          <w:p>
            <w:r>
              <w:t>cf. type state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l'état d'un vecteur mobilisé - sous forme de liste, il permet de décrire l'historique des états connus d'un même vecteur. 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state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Date/heure de changement de statut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DSF)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date et heure d'engagement de changement vers le nouveau statut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du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HubSante.statutVecteur)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statut du vecteur. Cf nomenclature associée.</w:t>
            </w:r>
          </w:p>
        </w:tc>
        <w:tc>
          <w:tcPr>
            <w:tcW w:type="dxa" w:w="1701"/>
          </w:tcPr>
          <w:p>
            <w:r>
              <w:t>ARRIVE</w:t>
            </w:r>
          </w:p>
        </w:tc>
      </w:tr>
      <w:tr>
        <w:tc>
          <w:tcPr>
            <w:tcW w:type="dxa" w:w="1701"/>
          </w:tcPr>
          <w:p>
            <w:r>
              <w:t>availability</w:t>
            </w:r>
          </w:p>
        </w:tc>
        <w:tc>
          <w:tcPr>
            <w:tcW w:type="dxa" w:w="1984"/>
          </w:tcPr>
          <w:p>
            <w:r>
              <w:t>Disponibilité du vecteur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de manière à indiquer la disponibilité du vecteur.</w:t>
              <w:br/>
              <w:t>TRUE = DISPONIBLE</w:t>
              <w:br/>
              <w:t>FALSE = INDISPONIBLE</w:t>
              <w:br/>
              <w:t>VIDE = INCONNU</w:t>
            </w:r>
          </w:p>
        </w:tc>
        <w:tc>
          <w:tcPr>
            <w:tcW w:type="dxa" w:w="1701"/>
          </w:tcPr>
          <w:p>
            <w:r>
              <w:t>FALSE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