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documentLink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partagé du dossier de régulation médicale (DRM)</w:t>
            </w:r>
          </w:p>
        </w:tc>
        <w:tc>
          <w:tcPr>
            <w:tcW w:type="dxa" w:w="1134"/>
          </w:tcPr>
          <w:p>
            <w:r>
              <w:t>string</w:t>
              <w:br/>
              <w:t>(REGEX:^([\w-]+\.?){4,10}$)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du 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Identifiant partagé du patient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^([\w-]+\.){3,8}patient(\.[\w-]+){1,2}$)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l'identifiant partagé du patient auquel les documents sont rattachés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 d'accès au bilan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Code unitaire par bilan qui permet à l'utilisateur qui reçoit ce lien d'ouvrir le bilan lorsque celui ci ne nécessite pas une connexion nominative mais un code bilan </w:t>
            </w:r>
          </w:p>
        </w:tc>
        <w:tc>
          <w:tcPr>
            <w:tcW w:type="dxa" w:w="1701"/>
          </w:tcPr>
          <w:p>
            <w:r>
              <w:t>5f5h8s9</w:t>
            </w:r>
          </w:p>
        </w:tc>
      </w:tr>
      <w:tr>
        <w:tc>
          <w:tcPr>
            <w:tcW w:type="dxa" w:w="1701"/>
          </w:tcPr>
          <w:p>
            <w:r>
              <w:t>document</w:t>
            </w:r>
          </w:p>
        </w:tc>
        <w:tc>
          <w:tcPr>
            <w:tcW w:type="dxa" w:w="1984"/>
          </w:tcPr>
          <w:p>
            <w:r>
              <w:t>Documents</w:t>
            </w:r>
          </w:p>
        </w:tc>
        <w:tc>
          <w:tcPr>
            <w:tcW w:type="dxa" w:w="1134"/>
          </w:tcPr>
          <w:p>
            <w:r>
              <w:t>cf. type document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document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documentType</w:t>
            </w:r>
          </w:p>
        </w:tc>
        <w:tc>
          <w:tcPr>
            <w:tcW w:type="dxa" w:w="1984"/>
          </w:tcPr>
          <w:p>
            <w:r>
              <w:t>Type de document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Informe l'utilisateur du type de document que le lien URL permet d'ouvrir</w:t>
            </w:r>
          </w:p>
        </w:tc>
        <w:tc>
          <w:tcPr>
            <w:tcW w:type="dxa" w:w="1701"/>
          </w:tcPr>
          <w:p>
            <w:r>
              <w:t>Photo, ECG, bilan pdf, prescription, carte d'identité</w:t>
            </w:r>
          </w:p>
        </w:tc>
      </w:tr>
      <w:tr>
        <w:tc>
          <w:tcPr>
            <w:tcW w:type="dxa" w:w="1701"/>
          </w:tcPr>
          <w:p>
            <w:r>
              <w:t>url</w:t>
            </w:r>
          </w:p>
        </w:tc>
        <w:tc>
          <w:tcPr>
            <w:tcW w:type="dxa" w:w="1984"/>
          </w:tcPr>
          <w:p>
            <w:r>
              <w:t>URL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URL qui permet à l'utilisateur du LRM d'ouvrir le type de document précisé dans le champ précédent</w:t>
            </w:r>
          </w:p>
        </w:tc>
        <w:tc>
          <w:tcPr>
            <w:tcW w:type="dxa" w:w="1701"/>
          </w:tcPr>
          <w:p>
            <w:r>
              <w:t>https://hub.esante.gouv.fr/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