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v24.06.07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3166-ISO3166-2-v24.06.07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CISU-CodeEffet_a_obtenir-v24.06.07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 SAMU-NOMENC_DEVENIR_PAT-v24.06.07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SI-SAMU-NIVSOIN-v24.06.07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CISU-TYPE_VECTEUR-v24.06.07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CISU-TYPE_MOYEN-v24.06.07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SI-SAMU-TYPEDEC-v24.06.07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SI-SAMU-GRAVITE-v24.06.07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SI-SAMU-NOMENC_SEXE-v24.06.07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SI-SAMU-PBAPL-v24.06.07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SI-SAMU-TYPAPPLT-v24.06.07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CISU-CodeNombre_de_patients-victimes-v24.06.07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SI-SAMU-PRIORITE-v24.06.07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SI-SAMU-DEVENIRD-v24.06.07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CISU-Code_Motif_patient-victime-v24.06.07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CISU-Code_Risque-Menace-Sensibilité-v24.06.07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CISU-Code_Type_de_lieu-v24.06.07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CISU-Code_Nature_de_fait-v24.06.07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