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CISU-Code_Effet_a_obtenir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SAP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REGUL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CUMP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SMUR</w:t>
            </w:r>
          </w:p>
        </w:tc>
        <w:tc>
          <w:tcPr>
            <w:tcW w:type="dxa" w:w="1728"/>
          </w:tcPr>
          <w:p>
            <w:r>
              <w:t>Demander une prise en charge de médecine d'urgence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MG</w:t>
            </w:r>
          </w:p>
        </w:tc>
        <w:tc>
          <w:tcPr>
            <w:tcW w:type="dxa" w:w="1728"/>
          </w:tcPr>
          <w:p>
            <w:r>
              <w:t>Demander une prise en charge de médecine générale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PARAMED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SAMU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RELEVE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NOVI</w:t>
            </w:r>
          </w:p>
        </w:tc>
        <w:tc>
          <w:tcPr>
            <w:tcW w:type="dxa" w:w="1728"/>
          </w:tcPr>
          <w:p>
            <w:r>
              <w:t>Demander une prise en charge de nombreuses patients/victimes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TIH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BRANCARD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BARIA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