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22-09-2023</w:t>
            </w:r>
          </w:p>
        </w:tc>
        <w:tc>
          <w:tcPr>
            <w:tcW w:type="dxa" w:w="4320"/>
          </w:tcPr>
          <w:p>
            <w:r>
              <w:rPr>
                <w:b/>
              </w:rPr>
              <w:t>Non renseignée</w:t>
            </w:r>
          </w:p>
        </w:tc>
      </w:tr>
    </w:tbl>
    <w:p/>
    <w:p>
      <w:r>
        <w:t>Rédacteur(s) : Vianney Drescher</w:t>
      </w:r>
    </w:p>
    <w:p>
      <w:r>
        <w:t>Description : Décrit la nature de fait de l'affaire/dossier</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C02.15.00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C02.15.04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C02.15.05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C02.15.06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C02.16.00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C02.16.01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C02.16.02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C02.16.03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