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A garder pour échanger : EMSI  (dans OPG) - dans le sens type de moyen/ressource, plus large que le type de vecteur/véhicule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 la responsabilité des Smur (UMH, HéliSmur…)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du secteur hospitalier, public ou privé (établissement de soins, vecteurs sanitaires hospitaliers hors 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 la prise en charge libérale (médecins libéraux, paramédicaux libéraux, pharmacies, MMG, SOS Médecin…)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administrations ou services sociaux (ARS, Institut National de Veille Sanitaire…)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>
              <w:t>Défibrillateurs Automatisés Externes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défibrillateurs automatisés externes présents sur le territoire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