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EMSI-CONTEXT.LINK_ROLE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ADDSTO</w:t>
            </w:r>
          </w:p>
        </w:tc>
        <w:tc>
          <w:tcPr>
            <w:tcW w:type="dxa" w:w="2160"/>
          </w:tcPr>
          <w:p>
            <w:r>
              <w:t>Ajout</w:t>
            </w:r>
          </w:p>
        </w:tc>
        <w:tc>
          <w:tcPr>
            <w:tcW w:type="dxa" w:w="2160"/>
          </w:tcPr>
          <w:p>
            <w:r>
              <w:t>Le nouveau fichier EMSI ajoute des informations au fichier EMSI auquel il est lié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SPRSDS</w:t>
            </w:r>
          </w:p>
        </w:tc>
        <w:tc>
          <w:tcPr>
            <w:tcW w:type="dxa" w:w="2160"/>
          </w:tcPr>
          <w:p>
            <w:r>
              <w:t>Remplace</w:t>
            </w:r>
          </w:p>
        </w:tc>
        <w:tc>
          <w:tcPr>
            <w:tcW w:type="dxa" w:w="2160"/>
          </w:tcPr>
          <w:p>
            <w:r>
              <w:t>Le nouveau fichier EMSI remplace le fichier EMSI auquel il est lié.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