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EMSI-EVENT.SOURCE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 xml:space="preserve">COMFOR </w:t>
            </w:r>
          </w:p>
        </w:tc>
        <w:tc>
          <w:tcPr>
            <w:tcW w:type="dxa" w:w="2160"/>
          </w:tcPr>
          <w:p>
            <w:r>
              <w:t>Prévision informatique</w:t>
            </w:r>
          </w:p>
        </w:tc>
        <w:tc>
          <w:tcPr>
            <w:tcW w:type="dxa" w:w="2160"/>
          </w:tcPr>
          <w:p>
            <w:r>
              <w:t>Des alertes ont été reçues pour cette affaire mais aucune action (engagements de ressource, conseils etc) n’est encore déclenchée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HUMDED </w:t>
            </w:r>
          </w:p>
        </w:tc>
        <w:tc>
          <w:tcPr>
            <w:tcW w:type="dxa" w:w="2160"/>
          </w:tcPr>
          <w:p>
            <w:r>
              <w:t>Déduction humaine</w:t>
            </w:r>
          </w:p>
        </w:tc>
        <w:tc>
          <w:tcPr>
            <w:tcW w:type="dxa" w:w="2160"/>
          </w:tcPr>
          <w:p>
            <w:r>
              <w:t>L’affaire est en cours de résolution.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HUMOBS </w:t>
            </w:r>
          </w:p>
        </w:tc>
        <w:tc>
          <w:tcPr>
            <w:tcW w:type="dxa" w:w="2160"/>
          </w:tcPr>
          <w:p>
            <w:r>
              <w:t>Observation humaine</w:t>
            </w:r>
          </w:p>
        </w:tc>
        <w:tc>
          <w:tcPr>
            <w:tcW w:type="dxa" w:w="2160"/>
          </w:tcPr>
          <w:p>
            <w:r>
              <w:t>L’affaire est en pause pour le partenaire. Peut correspondre au cas d’une mise en veille.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SENSOR </w:t>
            </w:r>
          </w:p>
        </w:tc>
        <w:tc>
          <w:tcPr>
            <w:tcW w:type="dxa" w:w="2160"/>
          </w:tcPr>
          <w:p>
            <w:r>
              <w:t>Observation par capteur</w:t>
            </w:r>
          </w:p>
        </w:tc>
        <w:tc>
          <w:tcPr>
            <w:tcW w:type="dxa" w:w="2160"/>
          </w:tcPr>
          <w:p>
            <w:r>
              <w:t>La situation d’urgence est sous maîtrise du partenaire qui considère qu’il n’y a plus de besoin d’échanges sur cette affaire. Lorsqu’un partenaire clôt une affaire, il renvoie un code "COM" à son partenaire.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