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EMSI-EVENT.SOURCE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 xml:space="preserve">COMFOR </w:t>
            </w:r>
          </w:p>
        </w:tc>
        <w:tc>
          <w:tcPr>
            <w:tcW w:type="dxa" w:w="2160"/>
          </w:tcPr>
          <w:p>
            <w:r>
              <w:t>Prévision informatique</w:t>
            </w:r>
          </w:p>
        </w:tc>
        <w:tc>
          <w:tcPr>
            <w:tcW w:type="dxa" w:w="2160"/>
          </w:tcPr>
          <w:p>
            <w:r>
              <w:t>Prévision informatique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HUMDED </w:t>
            </w:r>
          </w:p>
        </w:tc>
        <w:tc>
          <w:tcPr>
            <w:tcW w:type="dxa" w:w="2160"/>
          </w:tcPr>
          <w:p>
            <w:r>
              <w:t>Déduction humaine</w:t>
            </w:r>
          </w:p>
        </w:tc>
        <w:tc>
          <w:tcPr>
            <w:tcW w:type="dxa" w:w="2160"/>
          </w:tcPr>
          <w:p>
            <w:r>
              <w:t>Déduction humaine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HUMOBS </w:t>
            </w:r>
          </w:p>
        </w:tc>
        <w:tc>
          <w:tcPr>
            <w:tcW w:type="dxa" w:w="2160"/>
          </w:tcPr>
          <w:p>
            <w:r>
              <w:t>Observation humaine</w:t>
            </w:r>
          </w:p>
        </w:tc>
        <w:tc>
          <w:tcPr>
            <w:tcW w:type="dxa" w:w="2160"/>
          </w:tcPr>
          <w:p>
            <w:r>
              <w:t>Observation humaine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 xml:space="preserve">SENSOR </w:t>
            </w:r>
          </w:p>
        </w:tc>
        <w:tc>
          <w:tcPr>
            <w:tcW w:type="dxa" w:w="2160"/>
          </w:tcPr>
          <w:p>
            <w:r>
              <w:t>Observation par capteur</w:t>
            </w:r>
          </w:p>
        </w:tc>
        <w:tc>
          <w:tcPr>
            <w:tcW w:type="dxa" w:w="2160"/>
          </w:tcPr>
          <w:p>
            <w:r>
              <w:t>Observation par capteur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