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ENUM-TYPE_Id_Patient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d'identifiant fourni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NIR ou NIA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SINUS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SI-VIC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dossard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place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