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SI-SAMU-GRAVITE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niveau de soins : le plus grave est retenu pour qualifier le dossier/affaire. Pour chaque patient/victime, le motif spécifique est indiqué.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Urgence Vitale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vitale patente ou latente imposant l’envoi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Urgence vraie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vraie sans détresse vitale nécessitant l’envoi d’un médecin, d’une ambulance ou d’un VSAV. Le délai d’intervention est immédiat par défaut ou contractualisé entre le médecin régulateur et le requérant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Continuité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relevant de la continuité de soins. Le délai ne constituant pas un facteur de risque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Conseil ou PMT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pouvant être traitée par un conseil médical ou prescription médicamenteuse par téléphone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