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SI-SAMU-NIVSOIN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niveau de prise en charge exigé.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MED</w:t>
            </w:r>
          </w:p>
        </w:tc>
        <w:tc>
          <w:tcPr>
            <w:tcW w:type="dxa" w:w="1440"/>
          </w:tcPr>
          <w:p>
            <w:r>
              <w:t>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est composé d'au moins un médecin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PARAMED</w:t>
            </w:r>
          </w:p>
        </w:tc>
        <w:tc>
          <w:tcPr>
            <w:tcW w:type="dxa" w:w="1440"/>
          </w:tcPr>
          <w:p>
            <w:r>
              <w:t>Paramédicalisé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pas de médecin. Il est uniquement composé d'infirmier(e)s.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SECOURS</w:t>
            </w:r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L'équipage du vecteur ne comporte que des secouristes professionnnels ni médecin, ni infimier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SANS</w:t>
            </w:r>
          </w:p>
        </w:tc>
        <w:tc>
          <w:tcPr>
            <w:tcW w:type="dxa" w:w="1440"/>
          </w:tcPr>
          <w:p>
            <w:r>
              <w:t>Sans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moyen de transport ne comporte aucun acteur de santé (transport par moyen personnel, taxi, transport en commun, ...)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