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des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SMUR.ADULT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</w:t>
            </w:r>
          </w:p>
        </w:tc>
      </w:tr>
      <w:tr>
        <w:tc>
          <w:tcPr>
            <w:tcW w:type="dxa" w:w="1440"/>
          </w:tcPr>
          <w:p>
            <w:r>
              <w:t>SMUR.PED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Pédiatrique ou Néonat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UMH-PED</w:t>
            </w:r>
          </w:p>
        </w:tc>
      </w:tr>
      <w:tr>
        <w:tc>
          <w:tcPr>
            <w:tcW w:type="dxa" w:w="1440"/>
          </w:tcPr>
          <w:p>
            <w:r>
              <w:t>SMUR.UMH-S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Smur Spécialisé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Exemple UMH Obstétrique et autre UMH à venir</w:t>
            </w:r>
          </w:p>
        </w:tc>
        <w:tc>
          <w:tcPr>
            <w:tcW w:type="dxa" w:w="1440"/>
          </w:tcPr>
          <w:p>
            <w:r>
              <w:t>UMH-S</w:t>
            </w:r>
          </w:p>
        </w:tc>
      </w:tr>
      <w:tr>
        <w:tc>
          <w:tcPr>
            <w:tcW w:type="dxa" w:w="1440"/>
          </w:tcPr>
          <w:p>
            <w:r>
              <w:t>SMUR.CUMP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Cellule d'Urgence Médico Psychologique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CUMP</w:t>
            </w:r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établissements de santé, public ou privé, hors des ressources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 la prise en charge par des professionnels libéraux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LIBERAL.PHARM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LIBERAL.KINE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Kinésithérapeuthes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Association de permanence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médicale de garde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LIBERAL.MSPD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de Santé Pluri Disciplinaire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LIBERAL.MCS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Correspondant de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LIBERAL.SPEMED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LIBERAL.LABO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d'analyses médicales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sociétés d'ambulances privées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services d'incendie et de secours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SIS.MEDSP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Medecin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FDO.GEND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Gendarmerie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Municipale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Autres ressources ne relevant d’aucune autre catégorie définie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AUTRE.ADM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