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SI-SAMU-GRAVITE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R1</w:t>
            </w:r>
          </w:p>
        </w:tc>
        <w:tc>
          <w:tcPr>
            <w:tcW w:type="dxa" w:w="1440"/>
          </w:tcPr>
          <w:p>
            <w:r>
              <w:t>Urgence Vitale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Urgence vitale patente ou latente imposant l’envoi du Smur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R2</w:t>
            </w:r>
          </w:p>
        </w:tc>
        <w:tc>
          <w:tcPr>
            <w:tcW w:type="dxa" w:w="1440"/>
          </w:tcPr>
          <w:p>
            <w:r>
              <w:t>Urgence vraie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Urgence vraie sans détresse vitale nécessitant l’envoi d’un médecin, d’une ambulance ou d’un VSAV. Le délai d’intervention est immédiat par défaut ou contractualisé entre le médecin régulateur et le requérant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R3</w:t>
            </w:r>
          </w:p>
        </w:tc>
        <w:tc>
          <w:tcPr>
            <w:tcW w:type="dxa" w:w="1440"/>
          </w:tcPr>
          <w:p>
            <w:r>
              <w:t>Continuité de soins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Situation relevant de la continuité de soins. Le délai ne constituant pas un facteur de risque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R4</w:t>
            </w:r>
          </w:p>
        </w:tc>
        <w:tc>
          <w:tcPr>
            <w:tcW w:type="dxa" w:w="1440"/>
          </w:tcPr>
          <w:p>
            <w:r>
              <w:t>Conseil ou PMT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Situation pouvant être traitée par un conseil médical ou prescription médicamenteuse par téléphone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