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SI-SAMU-GRAVITE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>Description : Décrit le niveau de soins : le plus grave est retenu pour qualifier le dossier/affaire. Pour chaque patient/victime, le motif spécifique est indiqué.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R1</w:t>
            </w:r>
          </w:p>
        </w:tc>
        <w:tc>
          <w:tcPr>
            <w:tcW w:type="dxa" w:w="1440"/>
          </w:tcPr>
          <w:p>
            <w:r>
              <w:t>Urgence Vitale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Urgence vitale patente ou latente imposant l’envoi du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R2</w:t>
            </w:r>
          </w:p>
        </w:tc>
        <w:tc>
          <w:tcPr>
            <w:tcW w:type="dxa" w:w="1440"/>
          </w:tcPr>
          <w:p>
            <w:r>
              <w:t>Urgence vraie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Urgence vraie sans détresse vitale nécessitant l’envoi d’un médecin, d’une ambulance ou d’un VSAV. Le délai d’intervention est immédiat par défaut ou contractualisé entre le médecin régulateur et le requérant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R3</w:t>
            </w:r>
          </w:p>
        </w:tc>
        <w:tc>
          <w:tcPr>
            <w:tcW w:type="dxa" w:w="1440"/>
          </w:tcPr>
          <w:p>
            <w:r>
              <w:t>Continuité de soins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Situation relevant de la continuité de soins. Le délai ne constituant pas un facteur de risque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R4</w:t>
            </w:r>
          </w:p>
        </w:tc>
        <w:tc>
          <w:tcPr>
            <w:tcW w:type="dxa" w:w="1440"/>
          </w:tcPr>
          <w:p>
            <w:r>
              <w:t>Conseil ou PMT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Situation pouvant être traitée par un conseil médical ou prescription médicamenteuse par téléphone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