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SI-SAMU-GRAVITE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soins : le plus grave est retenu pour qualifier le dossier/affaire. Pour chaque patient/victime, le motif spécifique est indiqué.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Urgence Vitale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vitale patente ou latente imposant l’envoi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Urgence vraie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Urgence vraie sans détresse vitale nécessitant l’envoi d’un médecin, d’une ambulance ou d’un VSAV. Le délai d’intervention est immédiat par défaut ou contractualisé entre le médecin régulateur et le requérant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Continuité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relevant de la continuité de soins. Le délai ne constituant pas un facteur de risque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Conseil ou PMT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Situation pouvant être traitée par un conseil médical ou prescription médicamenteuse par téléphone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