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SI-SAMU-NOMENC_SEXE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Décrit le sexe du 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MASC</w:t>
            </w:r>
          </w:p>
        </w:tc>
        <w:tc>
          <w:tcPr>
            <w:tcW w:type="dxa" w:w="1440"/>
          </w:tcPr>
          <w:p>
            <w:r>
              <w:t>Masculin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sexe masculin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FEM</w:t>
            </w:r>
          </w:p>
        </w:tc>
        <w:tc>
          <w:tcPr>
            <w:tcW w:type="dxa" w:w="1440"/>
          </w:tcPr>
          <w:p>
            <w:r>
              <w:t>Féminin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sexe féminin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>
              <w:t>Autre sexe (ni masculin, ni féminin)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Qualifie les individus de troisième genre (individu considéré comme n ’étant ni homme ni femme, à la fois homme et femme, ou neutre)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Le sexe de la personne n'est pas connu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