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SI-SAMU-PRIORITE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>Description : Décrit la priorité de régulation médicale.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P0</w:t>
            </w:r>
          </w:p>
        </w:tc>
        <w:tc>
          <w:tcPr>
            <w:tcW w:type="dxa" w:w="1440"/>
          </w:tcPr>
          <w:p>
            <w:r>
              <w:t>Ultra-Prioritaire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ultra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P1</w:t>
            </w:r>
          </w:p>
        </w:tc>
        <w:tc>
          <w:tcPr>
            <w:tcW w:type="dxa" w:w="1440"/>
          </w:tcPr>
          <w:p>
            <w:r>
              <w:t>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P2</w:t>
            </w:r>
          </w:p>
        </w:tc>
        <w:tc>
          <w:tcPr>
            <w:tcW w:type="dxa" w:w="1440"/>
          </w:tcPr>
          <w:p>
            <w:r>
              <w:t>Non Urgent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non urgente (valeur attribuée par défaut)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P3</w:t>
            </w:r>
          </w:p>
        </w:tc>
        <w:tc>
          <w:tcPr>
            <w:tcW w:type="dxa" w:w="1440"/>
          </w:tcPr>
          <w:p>
            <w:r>
              <w:t>Différé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Régulation médicale différée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Non régulé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