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SI-SAMU-TYPE_MOYEN</w:t>
      </w:r>
    </w:p>
    <w:p/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Date de validation</w:t>
            </w:r>
          </w:p>
        </w:tc>
        <w:tc>
          <w:tcPr>
            <w:tcW w:type="dxa" w:w="4320"/>
          </w:tcPr>
          <w:p>
            <w:r>
              <w:t>Date d'expiration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Non renseignée</w:t>
            </w:r>
          </w:p>
        </w:tc>
        <w:tc>
          <w:tcPr>
            <w:tcW w:type="dxa" w:w="4320"/>
          </w:tcPr>
          <w:p>
            <w:r>
              <w:rPr>
                <w:b/>
              </w:rPr>
              <w:t>Non renseignée</w:t>
            </w:r>
          </w:p>
        </w:tc>
      </w:tr>
    </w:tbl>
    <w:p/>
    <w:p>
      <w:r>
        <w:t xml:space="preserve">Rédacteur(s) : </w:t>
      </w:r>
    </w:p>
    <w:p>
      <w:r>
        <w:t>Description : A garder pour échanger : EMSI  (dans OPG) - dans le sens type de moyen/ressource, plus large que le type de vecteur/véhicule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Code</w:t>
            </w:r>
          </w:p>
        </w:tc>
        <w:tc>
          <w:tcPr>
            <w:tcW w:type="dxa" w:w="1440"/>
          </w:tcPr>
          <w:p>
            <w:r>
              <w:t>Libellé niveau 1</w:t>
            </w:r>
          </w:p>
        </w:tc>
        <w:tc>
          <w:tcPr>
            <w:tcW w:type="dxa" w:w="1440"/>
          </w:tcPr>
          <w:p>
            <w:r>
              <w:t>Libellé niveau 2</w:t>
            </w:r>
          </w:p>
        </w:tc>
        <w:tc>
          <w:tcPr>
            <w:tcW w:type="dxa" w:w="1440"/>
          </w:tcPr>
          <w:p>
            <w:r>
              <w:t>Libellé niveau 3</w:t>
            </w:r>
          </w:p>
        </w:tc>
        <w:tc>
          <w:tcPr>
            <w:tcW w:type="dxa" w:w="1440"/>
          </w:tcPr>
          <w:p>
            <w:r>
              <w:t>Description</w:t>
            </w:r>
          </w:p>
        </w:tc>
        <w:tc>
          <w:tcPr>
            <w:tcW w:type="dxa" w:w="1440"/>
          </w:tcPr>
          <w:p>
            <w:r>
              <w:t>Commentaire</w:t>
            </w:r>
          </w:p>
        </w:tc>
      </w:tr>
      <w:tr>
        <w:tc>
          <w:tcPr>
            <w:tcW w:type="dxa" w:w="1440"/>
          </w:tcPr>
          <w:p>
            <w:r>
              <w:t>SMUR</w:t>
            </w:r>
          </w:p>
        </w:tc>
        <w:tc>
          <w:tcPr>
            <w:tcW w:type="dxa" w:w="1440"/>
          </w:tcPr>
          <w:p>
            <w:r>
              <w:t>Smur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Ensemble des ressources fixes et mobiles relevant de la responsabilité des Smur (UMH, HéliSmur…)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HOSPIT</w:t>
            </w:r>
          </w:p>
        </w:tc>
        <w:tc>
          <w:tcPr>
            <w:tcW w:type="dxa" w:w="1440"/>
          </w:tcPr>
          <w:p>
            <w:r>
              <w:t>Hospitaliers (hors Smur)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Ensemble des ressources fixes ou mobiles relevant du secteur hospitalier, public ou privé (établissement de soins, vecteurs sanitaires hospitaliers hors Smur…)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LIB</w:t>
            </w:r>
          </w:p>
        </w:tc>
        <w:tc>
          <w:tcPr>
            <w:tcW w:type="dxa" w:w="1440"/>
          </w:tcPr>
          <w:p>
            <w:r>
              <w:t>Professionnels Libéraux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Ensemble des ressources fixes ou mobiles relevant de la prise en charge libérale (médecins libéraux, paramédicaux libéraux, pharmacies, MMG, SOS Médecin…)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 xml:space="preserve">TSU </w:t>
            </w:r>
          </w:p>
        </w:tc>
        <w:tc>
          <w:tcPr>
            <w:tcW w:type="dxa" w:w="1440"/>
          </w:tcPr>
          <w:p>
            <w:r>
              <w:t>Ambulanciers privés (Transporteurs Sanitaires Urgent)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Ensemble des ressources fixes et mobiles relevant des ambulances privées (ASSU, Ambulanciers…)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SIS</w:t>
            </w:r>
          </w:p>
        </w:tc>
        <w:tc>
          <w:tcPr>
            <w:tcW w:type="dxa" w:w="1440"/>
          </w:tcPr>
          <w:p>
            <w:r>
              <w:t>Pompiers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Ensemble des ressources fixes ou mobiles relevant des forces d’intervention Pompiers (VSAV, ISP, VLI, médecin SP…)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AASC</w:t>
            </w:r>
          </w:p>
        </w:tc>
        <w:tc>
          <w:tcPr>
            <w:tcW w:type="dxa" w:w="1440"/>
          </w:tcPr>
          <w:p>
            <w:r>
              <w:t>Sécurité civile, secouriste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Ensemble des ressources fixes ou mobiles relevant des organisations de secourisme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FDO</w:t>
            </w:r>
          </w:p>
        </w:tc>
        <w:tc>
          <w:tcPr>
            <w:tcW w:type="dxa" w:w="1440"/>
          </w:tcPr>
          <w:p>
            <w:r>
              <w:t>Force de l'Ordre et douanes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Ensemble des ressources fixes ou mobiles relevant des forces de l’ordre (police nationale, municipale, gendarmerie nationaux et douanes)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ADM</w:t>
            </w:r>
          </w:p>
        </w:tc>
        <w:tc>
          <w:tcPr>
            <w:tcW w:type="dxa" w:w="1440"/>
          </w:tcPr>
          <w:p>
            <w:r>
              <w:t>Institutions administratives et sociales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Ensemble des ressources fixes ou mobiles relevant des administrations ou services sociaux (ARS, Institut National de Veille Sanitaire…)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DAE</w:t>
            </w:r>
          </w:p>
        </w:tc>
        <w:tc>
          <w:tcPr>
            <w:tcW w:type="dxa" w:w="1440"/>
          </w:tcPr>
          <w:p>
            <w:r>
              <w:t>Défibrillateurs Automatisés Externes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Ensemble des défibrillateurs automatisés externes présents sur le territoire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AUTRE</w:t>
            </w:r>
          </w:p>
        </w:tc>
        <w:tc>
          <w:tcPr>
            <w:tcW w:type="dxa" w:w="1440"/>
          </w:tcPr>
          <w:p>
            <w:r>
              <w:t>Autres ressources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Ensemble des ressources fixes ou mobiles ne relevant d’aucune catégorie précédemment définie</w:t>
            </w:r>
          </w:p>
        </w:tc>
        <w:tc>
          <w:tcPr>
            <w:tcW w:type="dxa" w:w="1440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