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vecteur/véhicule ou de ressource mobilisée, avec plus de précision que simplement le type de ressources. Utilisée exclusivement en inter-santé (cf. EMSI-OPG pour 15-NexSIS)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AASC.VLSC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AASC.VPSP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AASC.AUTRESC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sans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AUTREVEC.AUTRETRA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FSI.VHFSI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LIB.MEDV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LIB.INF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LIB.AUTREPRO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TSU.AMB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