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FILIER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a filière compétente pour traiter le dossier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AMU</w:t>
            </w:r>
          </w:p>
        </w:tc>
        <w:tc>
          <w:tcPr>
            <w:tcW w:type="dxa" w:w="1728"/>
          </w:tcPr>
          <w:p>
            <w:r>
              <w:t>Aide Médicale d'Urg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lière dédiée à l'aide médicale d'urgenc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ONAT</w:t>
            </w:r>
          </w:p>
        </w:tc>
        <w:tc>
          <w:tcPr>
            <w:tcW w:type="dxa" w:w="1728"/>
          </w:tcPr>
          <w:p>
            <w:r>
              <w:t>Néonatali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lière dédiée à la néonatalité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SY</w:t>
            </w:r>
          </w:p>
        </w:tc>
        <w:tc>
          <w:tcPr>
            <w:tcW w:type="dxa" w:w="1728"/>
          </w:tcPr>
          <w:p>
            <w:r>
              <w:t>Psychiatri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lière dédiée à la psychiatri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NP</w:t>
            </w:r>
          </w:p>
        </w:tc>
        <w:tc>
          <w:tcPr>
            <w:tcW w:type="dxa" w:w="1728"/>
          </w:tcPr>
          <w:p>
            <w:r>
              <w:t>Soins Non Programmé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lière dédiée aux soins non programmés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