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SI-SAMU-GRAVITE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le niveau de soins : le plus grave est retenu pour qualifier le dossier/affaire. Pour chaque patient/victime, le motif spécifique est indiqué.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Libellé niveau 1</w:t>
            </w:r>
          </w:p>
        </w:tc>
        <w:tc>
          <w:tcPr>
            <w:tcW w:type="dxa" w:w="1440"/>
          </w:tcPr>
          <w:p>
            <w:r>
              <w:t>Libellé niveau 2</w:t>
            </w:r>
          </w:p>
        </w:tc>
        <w:tc>
          <w:tcPr>
            <w:tcW w:type="dxa" w:w="1440"/>
          </w:tcPr>
          <w:p>
            <w:r>
              <w:t>Libellé niveau 3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Commentaire</w:t>
            </w:r>
          </w:p>
        </w:tc>
      </w:tr>
      <w:tr>
        <w:tc>
          <w:tcPr>
            <w:tcW w:type="dxa" w:w="1440"/>
          </w:tcPr>
          <w:p>
            <w:r>
              <w:t>R1</w:t>
            </w:r>
          </w:p>
        </w:tc>
        <w:tc>
          <w:tcPr>
            <w:tcW w:type="dxa" w:w="1440"/>
          </w:tcPr>
          <w:p>
            <w:r>
              <w:t>Urgence Vitale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Urgence vitale patente ou latente imposant l’envoi du Smur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R2</w:t>
            </w:r>
          </w:p>
        </w:tc>
        <w:tc>
          <w:tcPr>
            <w:tcW w:type="dxa" w:w="1440"/>
          </w:tcPr>
          <w:p>
            <w:r>
              <w:t>Urgence vraie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Urgence vraie sans détresse vitale nécessitant l’envoi d’un médecin, d’une ambulance ou d’un VSAV. Le délai d’intervention est immédiat par défaut ou contractualisé entre le médecin régulateur et le requérant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R3</w:t>
            </w:r>
          </w:p>
        </w:tc>
        <w:tc>
          <w:tcPr>
            <w:tcW w:type="dxa" w:w="1440"/>
          </w:tcPr>
          <w:p>
            <w:r>
              <w:t>Continuité de soins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Situation relevant de la continuité de soins. Le délai ne constituant pas un facteur de risque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R4</w:t>
            </w:r>
          </w:p>
        </w:tc>
        <w:tc>
          <w:tcPr>
            <w:tcW w:type="dxa" w:w="1440"/>
          </w:tcPr>
          <w:p>
            <w:r>
              <w:t>Conseil ou PMT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Situation pouvant être traitée par un conseil médical ou prescription médicamenteuse par téléphone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