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resourcesInfoCisu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^([a-zA-Z0-9_-]+\.?){4,10}$)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l'identifiant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permettant de communquer la liste des ressource et vecteurs mobilisés en 15-15 et 15-SMUR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déclenchement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la ressource/du vecteur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requestId</w:t>
            </w:r>
          </w:p>
        </w:tc>
        <w:tc>
          <w:tcPr>
            <w:tcW w:type="dxa" w:w="1984"/>
          </w:tcPr>
          <w:p>
            <w:r>
              <w:t>ID Demande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^([a-zA-Z0-9_-]+\.){3,8}request(\.[a-zA-Z0-9_-]+){1,2}$)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l'identifiant unique partagé de la demande de ressource (si la ressource a été engagée suite à une demande de ressource), normé comme suit :</w:t>
              <w:br/>
              <w:t>{orgID}.request.{ID unique de la demande dans le système émetteur}</w:t>
              <w:br/>
              <w:t xml:space="preserve">OU - si un ID unique de la demande n'était pas disponible : </w:t>
              <w:br/>
              <w:t>{OrgId émetteur}.request.{senderCaseId}.{numéro d’ordre chronologique}</w:t>
            </w:r>
          </w:p>
        </w:tc>
        <w:tc>
          <w:tcPr>
            <w:tcW w:type="dxa" w:w="1701"/>
          </w:tcPr>
          <w:p>
            <w:r>
              <w:t>fr.health.samu770.request.1249875</w:t>
              <w:br/>
              <w:t>fr.health.samu690.request.DRFR15690242370035.3</w:t>
            </w:r>
          </w:p>
        </w:tc>
      </w:tr>
      <w:tr>
        <w:tc>
          <w:tcPr>
            <w:tcW w:type="dxa" w:w="1701"/>
          </w:tcPr>
          <w:p>
            <w:r>
              <w:t>missionId</w:t>
            </w:r>
          </w:p>
        </w:tc>
        <w:tc>
          <w:tcPr>
            <w:tcW w:type="dxa" w:w="1984"/>
          </w:tcPr>
          <w:p>
            <w:r>
              <w:t>ID Mission local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de mission unique du central d’appel (PSAP, …) qui a déclenché le vecteur</w:t>
            </w:r>
          </w:p>
        </w:tc>
        <w:tc>
          <w:tcPr>
            <w:tcW w:type="dxa" w:w="1701"/>
          </w:tcPr>
          <w:p>
            <w:r>
              <w:t>DRFR15DDXAAJJJ0000.M001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 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A valoriser avec l'identifiant de l'organisation à laquelle appartient la ressource, normé comme suit : </w:t>
              <w:br/>
              <w:t>{pays}.{domaine}.{organisation}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centerName</w:t>
            </w:r>
          </w:p>
        </w:tc>
        <w:tc>
          <w:tcPr>
            <w:tcW w:type="dxa" w:w="1984"/>
          </w:tcPr>
          <w:p>
            <w:r>
              <w:t>Nom du centre d’affectation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lieu de garage principal</w:t>
            </w:r>
          </w:p>
        </w:tc>
        <w:tc>
          <w:tcPr>
            <w:tcW w:type="dxa" w:w="1701"/>
          </w:tcPr>
          <w:p>
            <w:r>
              <w:t>CHU Nantes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du vecteur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donné à la ressource par l’organisation d’appartenance</w:t>
            </w:r>
          </w:p>
        </w:tc>
        <w:tc>
          <w:tcPr>
            <w:tcW w:type="dxa" w:w="1701"/>
          </w:tcPr>
          <w:p>
            <w:r>
              <w:t>SMUR 123</w:t>
            </w:r>
          </w:p>
        </w:tc>
      </w:tr>
      <w:tr>
        <w:tc>
          <w:tcPr>
            <w:tcW w:type="dxa" w:w="1701"/>
          </w:tcPr>
          <w:p>
            <w:r>
              <w:t>centerCity</w:t>
            </w:r>
          </w:p>
        </w:tc>
        <w:tc>
          <w:tcPr>
            <w:tcW w:type="dxa" w:w="1984"/>
          </w:tcPr>
          <w:p>
            <w:r>
              <w:t>Commune du centre d’affectation</w:t>
            </w:r>
          </w:p>
        </w:tc>
        <w:tc>
          <w:tcPr>
            <w:tcW w:type="dxa" w:w="1134"/>
          </w:tcPr>
          <w:p>
            <w:r>
              <w:t>string</w:t>
              <w:br/>
              <w:t>(REGEX: ^[0-9]{5}$)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code INSEE de la commune du centre d'affectation</w:t>
            </w:r>
          </w:p>
        </w:tc>
        <w:tc>
          <w:tcPr>
            <w:tcW w:type="dxa" w:w="1701"/>
          </w:tcPr>
          <w:p>
            <w:r>
              <w:t>44109</w:t>
            </w:r>
          </w:p>
        </w:tc>
      </w:tr>
      <w:tr>
        <w:tc>
          <w:tcPr>
            <w:tcW w:type="dxa" w:w="1701"/>
          </w:tcPr>
          <w:p>
            <w:r>
              <w:t>team</w:t>
            </w:r>
          </w:p>
        </w:tc>
        <w:tc>
          <w:tcPr>
            <w:tcW w:type="dxa" w:w="1984"/>
          </w:tcPr>
          <w:p>
            <w:r>
              <w:t>Equipe vecteur</w:t>
            </w:r>
          </w:p>
        </w:tc>
        <w:tc>
          <w:tcPr>
            <w:tcW w:type="dxa" w:w="1134"/>
          </w:tcPr>
          <w:p>
            <w:r>
              <w:t>cf. type team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décrit l'équipe à bord du vecteur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state</w:t>
            </w:r>
          </w:p>
        </w:tc>
        <w:tc>
          <w:tcPr>
            <w:tcW w:type="dxa" w:w="1984"/>
          </w:tcPr>
          <w:p>
            <w:r>
              <w:t>Etat vecteur</w:t>
            </w:r>
          </w:p>
        </w:tc>
        <w:tc>
          <w:tcPr>
            <w:tcW w:type="dxa" w:w="1134"/>
          </w:tcPr>
          <w:p>
            <w:r>
              <w:t>cf. type state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Objet qui permet de décrire l'état d'un vecteur mobilisé - sous forme de liste, il permet de décrire l'historique des états connus d'un même vecteur. 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team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medicalLevel</w:t>
            </w:r>
          </w:p>
        </w:tc>
        <w:tc>
          <w:tcPr>
            <w:tcW w:type="dxa" w:w="1984"/>
          </w:tcPr>
          <w:p>
            <w:r>
              <w:t>Type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HubSante.typePEC)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 niveau de médicalisation du vecteur. Cf. nomenclature associée</w:t>
            </w:r>
          </w:p>
        </w:tc>
        <w:tc>
          <w:tcPr>
            <w:tcW w:type="dxa" w:w="1701"/>
          </w:tcPr>
          <w:p>
            <w:r>
              <w:t>MED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l'équipe à bord du vecteur (celui communiqué par l'organisation à laquelle l'équipe appartient)</w:t>
            </w:r>
          </w:p>
        </w:tc>
        <w:tc>
          <w:tcPr>
            <w:tcW w:type="dxa" w:w="1701"/>
          </w:tcPr>
          <w:p>
            <w:r>
              <w:t>Equipe A</w:t>
            </w:r>
          </w:p>
        </w:tc>
      </w:tr>
    </w:tbl>
    <w:p>
      <w:pPr>
        <w:pStyle w:val="Heading1"/>
      </w:pPr>
      <w:r>
        <w:t>state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Date/heure de changement de statut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DSF)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date et heure d'engagement de changement vers le nouveau statut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du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HubSante.statutVecteur)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statut du vecteur. Cf nomenclature associée.</w:t>
            </w:r>
          </w:p>
        </w:tc>
        <w:tc>
          <w:tcPr>
            <w:tcW w:type="dxa" w:w="1701"/>
          </w:tcPr>
          <w:p>
            <w:r>
              <w:t>ARRIVE</w:t>
            </w:r>
          </w:p>
        </w:tc>
      </w:tr>
      <w:tr>
        <w:tc>
          <w:tcPr>
            <w:tcW w:type="dxa" w:w="1701"/>
          </w:tcPr>
          <w:p>
            <w:r>
              <w:t>availability</w:t>
            </w:r>
          </w:p>
        </w:tc>
        <w:tc>
          <w:tcPr>
            <w:tcW w:type="dxa" w:w="1984"/>
          </w:tcPr>
          <w:p>
            <w:r>
              <w:t>Disponibilité du vecteur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de manière à indiquer la disponibilité du vecteur.</w:t>
              <w:br/>
              <w:t>TRUE = DISPONIBLE</w:t>
              <w:br/>
              <w:t>FALSE = INDISPONIBLE</w:t>
              <w:br/>
              <w:t>VIDE = INCONNU</w:t>
            </w:r>
          </w:p>
        </w:tc>
        <w:tc>
          <w:tcPr>
            <w:tcW w:type="dxa" w:w="1701"/>
          </w:tcPr>
          <w:p>
            <w:r>
              <w:t>FALSE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