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rpis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context</w:t>
            </w:r>
          </w:p>
        </w:tc>
        <w:tc>
          <w:tcPr>
            <w:tcW w:type="dxa" w:w="1984"/>
          </w:tcPr>
          <w:p>
            <w:r>
              <w:t>Evènement</w:t>
            </w:r>
          </w:p>
        </w:tc>
        <w:tc>
          <w:tcPr>
            <w:tcW w:type="dxa" w:w="1134"/>
          </w:tcPr>
          <w:p>
            <w:r>
              <w:t>cf. type event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regulation</w:t>
            </w:r>
          </w:p>
        </w:tc>
        <w:tc>
          <w:tcPr>
            <w:tcW w:type="dxa" w:w="1984"/>
          </w:tcPr>
          <w:p>
            <w:r>
              <w:t>Régulation médicale</w:t>
            </w:r>
          </w:p>
        </w:tc>
        <w:tc>
          <w:tcPr>
            <w:tcW w:type="dxa" w:w="1134"/>
          </w:tcPr>
          <w:p>
            <w:r>
              <w:t>cf. type regulation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patient</w:t>
            </w:r>
          </w:p>
        </w:tc>
        <w:tc>
          <w:tcPr>
            <w:tcW w:type="dxa" w:w="1984"/>
          </w:tcPr>
          <w:p>
            <w:r>
              <w:t>Patient</w:t>
            </w:r>
          </w:p>
        </w:tc>
        <w:tc>
          <w:tcPr>
            <w:tcW w:type="dxa" w:w="1134"/>
          </w:tcPr>
          <w:p>
            <w:r>
              <w:t>cf. type patient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intervention</w:t>
            </w:r>
          </w:p>
        </w:tc>
        <w:tc>
          <w:tcPr>
            <w:tcW w:type="dxa" w:w="1984"/>
          </w:tcPr>
          <w:p>
            <w:r>
              <w:t>Intervention</w:t>
            </w:r>
          </w:p>
        </w:tc>
        <w:tc>
          <w:tcPr>
            <w:tcW w:type="dxa" w:w="1134"/>
          </w:tcPr>
          <w:p>
            <w:r>
              <w:t>cf. type intervention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orientation</w:t>
            </w:r>
          </w:p>
        </w:tc>
        <w:tc>
          <w:tcPr>
            <w:tcW w:type="dxa" w:w="1984"/>
          </w:tcPr>
          <w:p>
            <w:r>
              <w:t>Décision d'orientation</w:t>
            </w:r>
          </w:p>
        </w:tc>
        <w:tc>
          <w:tcPr>
            <w:tcW w:type="dxa" w:w="1134"/>
          </w:tcPr>
          <w:p>
            <w:r>
              <w:t>cf. type orientation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event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orgId</w:t>
            </w:r>
          </w:p>
        </w:tc>
        <w:tc>
          <w:tcPr>
            <w:tcW w:type="dxa" w:w="1984"/>
          </w:tcPr>
          <w:p>
            <w:r>
              <w:t>Identifiant de l'organisation du SAMU qui engage le SMUR</w:t>
            </w:r>
          </w:p>
        </w:tc>
        <w:tc>
          <w:tcPr>
            <w:tcW w:type="dxa" w:w="1134"/>
          </w:tcPr>
          <w:p>
            <w:r>
              <w:t>string</w:t>
              <w:br/>
              <w:t>(REGEX: ^([a-zA-Z0-9_-]+\.?){4,10}$)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Numéro du SAMU régulant la mission SMUR. </w:t>
              <w:br/>
              <w:t>A valoriser par fr.health.samuXXX :  {pays}.{domaine}.{organisation}</w:t>
              <w:br/>
            </w:r>
          </w:p>
        </w:tc>
        <w:tc>
          <w:tcPr>
            <w:tcW w:type="dxa" w:w="1701"/>
          </w:tcPr>
          <w:p>
            <w:r>
              <w:t>fr.health.samu440</w:t>
            </w:r>
          </w:p>
        </w:tc>
      </w:tr>
      <w:tr>
        <w:tc>
          <w:tcPr>
            <w:tcW w:type="dxa" w:w="1701"/>
          </w:tcPr>
          <w:p>
            <w:r>
              <w:t>senderCaseId</w:t>
            </w:r>
          </w:p>
        </w:tc>
        <w:tc>
          <w:tcPr>
            <w:tcW w:type="dxa" w:w="1984"/>
          </w:tcPr>
          <w:p>
            <w:r>
              <w:t>Identifiant local du dossier de régulation médicale (DRM)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Numéro du dossier SAMU à l’origine de la mission SMUR</w:t>
              <w:br/>
              <w:t xml:space="preserve">A valoriser par DRFR15DDXAAJJJ00000 : </w:t>
              <w:br/>
              <w:t>- DR = désignation d'un dossier sous forme abrégée,</w:t>
              <w:br/>
              <w:t>- FR : désigne le pays (FR = France),</w:t>
              <w:br/>
              <w:t>- 15 : désigne le fait que le dossier a été pris en charge par un SAMU / SAS,</w:t>
              <w:br/>
              <w:t>- DD : désigne le département où est situé le SAMU / SAS qui a traité le dossier,</w:t>
              <w:br/>
              <w:t>- X : lettre désignant le SAMU / SAS en cas de pluralité de SAMU / SAS sur le même département ou le troisième chiffre des DOM,</w:t>
              <w:br/>
              <w:t>- AA : année durant laquelle l’appel a été créé,</w:t>
              <w:br/>
              <w:t>- JJJ : désigne le jour de l'année (de 1j à 365j),\par</w:t>
              <w:br/>
              <w:t>- 00000 : numéro d’ordre chronologique du dossier dans la journée de référence ci-dessus.</w:t>
            </w:r>
          </w:p>
        </w:tc>
        <w:tc>
          <w:tcPr>
            <w:tcW w:type="dxa" w:w="1701"/>
          </w:tcPr>
          <w:p>
            <w:r>
              <w:t>DRFR15DDXAAJJJ00000</w:t>
            </w:r>
          </w:p>
        </w:tc>
      </w:tr>
      <w:tr>
        <w:tc>
          <w:tcPr>
            <w:tcW w:type="dxa" w:w="1701"/>
          </w:tcPr>
          <w:p>
            <w:r>
              <w:t>creationDate</w:t>
            </w:r>
          </w:p>
        </w:tc>
        <w:tc>
          <w:tcPr>
            <w:tcW w:type="dxa" w:w="1984"/>
          </w:tcPr>
          <w:p>
            <w:r>
              <w:t>Date et heure de création du dossier de régulation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decisionDate</w:t>
            </w:r>
          </w:p>
        </w:tc>
        <w:tc>
          <w:tcPr>
            <w:tcW w:type="dxa" w:w="1984"/>
          </w:tcPr>
          <w:p>
            <w:r>
              <w:t>Date et heure de la décision d’engagement du SMUR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ressourceFinessLegal</w:t>
            </w:r>
          </w:p>
        </w:tc>
        <w:tc>
          <w:tcPr>
            <w:tcW w:type="dxa" w:w="1984"/>
          </w:tcPr>
          <w:p>
            <w:r>
              <w:t xml:space="preserve">FINESS juridique 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FINESS juridique établissement rattachement SMUR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ressourceFinessGeo</w:t>
            </w:r>
          </w:p>
        </w:tc>
        <w:tc>
          <w:tcPr>
            <w:tcW w:type="dxa" w:w="1984"/>
          </w:tcPr>
          <w:p>
            <w:r>
              <w:t xml:space="preserve">FINESS géographique 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FINESS géographique établissement rattachement SMUR ou antenne SMUR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ressourceStructure</w:t>
            </w:r>
          </w:p>
        </w:tc>
        <w:tc>
          <w:tcPr>
            <w:tcW w:type="dxa" w:w="1984"/>
          </w:tcPr>
          <w:p>
            <w:r>
              <w:t>Type de structure SMUR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9 = Antenne SMUR, 0 = SMUR général, 1 = SMUR pédiatrique, 2 = SMUR neonatal 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regulation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whatsHappen</w:t>
            </w:r>
          </w:p>
        </w:tc>
        <w:tc>
          <w:tcPr>
            <w:tcW w:type="dxa" w:w="1984"/>
          </w:tcPr>
          <w:p>
            <w:r>
              <w:t>Circonstances ayant données lieu à l’appel</w:t>
            </w:r>
          </w:p>
        </w:tc>
        <w:tc>
          <w:tcPr>
            <w:tcW w:type="dxa" w:w="1134"/>
          </w:tcPr>
          <w:p>
            <w:r>
              <w:t>cf. type whatsHappen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healthMotive</w:t>
            </w:r>
          </w:p>
        </w:tc>
        <w:tc>
          <w:tcPr>
            <w:tcW w:type="dxa" w:w="1984"/>
          </w:tcPr>
          <w:p>
            <w:r>
              <w:t xml:space="preserve">Motif de recours </w:t>
            </w:r>
          </w:p>
        </w:tc>
        <w:tc>
          <w:tcPr>
            <w:tcW w:type="dxa" w:w="1134"/>
          </w:tcPr>
          <w:p>
            <w:r>
              <w:t>cf. type healthMotive</w:t>
              <w:br/>
              <w:t>(nan)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medicalLevel</w:t>
            </w:r>
          </w:p>
        </w:tc>
        <w:tc>
          <w:tcPr>
            <w:tcW w:type="dxa" w:w="1984"/>
          </w:tcPr>
          <w:p>
            <w:r>
              <w:t>Niveau de médicalisation initial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HubSante.typePEC)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Type d’équipe (médical, paramédicale, secouriste).</w:t>
              <w:br/>
              <w:t>A valoriser par un code de la nomenclature  SI-SAMU-NIVSOIN.</w:t>
              <w:br/>
              <w:t xml:space="preserve">Permet de déduire avec la donnée "niveau de médicalisation du transport", si un UMHP est devenu un SMUR. </w:t>
            </w:r>
          </w:p>
        </w:tc>
        <w:tc>
          <w:tcPr>
            <w:tcW w:type="dxa" w:w="1701"/>
          </w:tcPr>
          <w:p>
            <w:r>
              <w:t>PARAMED</w:t>
            </w:r>
          </w:p>
        </w:tc>
      </w:tr>
    </w:tbl>
    <w:p>
      <w:pPr>
        <w:pStyle w:val="Heading1"/>
      </w:pPr>
      <w:r>
        <w:t>patient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patientId</w:t>
            </w:r>
          </w:p>
        </w:tc>
        <w:tc>
          <w:tcPr>
            <w:tcW w:type="dxa" w:w="1984"/>
          </w:tcPr>
          <w:p>
            <w:r>
              <w:t>ID Patient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Identifiant unique du patient. </w:t>
              <w:br/>
              <w:t>A valoriser par {ID du SAMU qui engage le SMUR}.{ID du DRM}.P{numéro d’ordre chronologique} : fr.health.samu690.DRFR15DDXAAJJJ00001.P01</w:t>
            </w:r>
          </w:p>
        </w:tc>
        <w:tc>
          <w:tcPr>
            <w:tcW w:type="dxa" w:w="1701"/>
          </w:tcPr>
          <w:p>
            <w:r>
              <w:t>fr.health.samu690.patient.DRFR15DDXAAJJJ00001.1</w:t>
            </w:r>
          </w:p>
        </w:tc>
      </w:tr>
      <w:tr>
        <w:tc>
          <w:tcPr>
            <w:tcW w:type="dxa" w:w="1701"/>
          </w:tcPr>
          <w:p>
            <w:r>
              <w:t>birthDate</w:t>
            </w:r>
          </w:p>
        </w:tc>
        <w:tc>
          <w:tcPr>
            <w:tcW w:type="dxa" w:w="1984"/>
          </w:tcPr>
          <w:p>
            <w:r>
              <w:t>Date de naissance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Date de naissance du patient</w:t>
            </w:r>
          </w:p>
        </w:tc>
        <w:tc>
          <w:tcPr>
            <w:tcW w:type="dxa" w:w="1701"/>
          </w:tcPr>
          <w:p>
            <w:r>
              <w:t>17/02/1936</w:t>
            </w:r>
          </w:p>
        </w:tc>
      </w:tr>
      <w:tr>
        <w:tc>
          <w:tcPr>
            <w:tcW w:type="dxa" w:w="1701"/>
          </w:tcPr>
          <w:p>
            <w:r>
              <w:t>sex</w:t>
            </w:r>
          </w:p>
        </w:tc>
        <w:tc>
          <w:tcPr>
            <w:tcW w:type="dxa" w:w="1984"/>
          </w:tcPr>
          <w:p>
            <w:r>
              <w:t>Sexe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HubSante.sexe)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Sexe du patient, suivant le libellé court de la nomenclature NOS-NOMENC_SEXE</w:t>
            </w:r>
          </w:p>
        </w:tc>
        <w:tc>
          <w:tcPr>
            <w:tcW w:type="dxa" w:w="1701"/>
          </w:tcPr>
          <w:p>
            <w:r>
              <w:t>F</w:t>
            </w:r>
          </w:p>
        </w:tc>
      </w:tr>
      <w:tr>
        <w:tc>
          <w:tcPr>
            <w:tcW w:type="dxa" w:w="1701"/>
          </w:tcPr>
          <w:p>
            <w:r>
              <w:t>residentialAddress</w:t>
            </w:r>
          </w:p>
        </w:tc>
        <w:tc>
          <w:tcPr>
            <w:tcW w:type="dxa" w:w="1984"/>
          </w:tcPr>
          <w:p>
            <w:r>
              <w:t>Adresse de résidence</w:t>
            </w:r>
          </w:p>
        </w:tc>
        <w:tc>
          <w:tcPr>
            <w:tcW w:type="dxa" w:w="1134"/>
          </w:tcPr>
          <w:p>
            <w:r>
              <w:t>cf. type residentialAddress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intervention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location</w:t>
            </w:r>
          </w:p>
        </w:tc>
        <w:tc>
          <w:tcPr>
            <w:tcW w:type="dxa" w:w="1984"/>
          </w:tcPr>
          <w:p>
            <w:r>
              <w:t>Lieu d'intervention</w:t>
            </w:r>
          </w:p>
        </w:tc>
        <w:tc>
          <w:tcPr>
            <w:tcW w:type="dxa" w:w="1134"/>
          </w:tcPr>
          <w:p>
            <w:r>
              <w:t>cf. type location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team</w:t>
            </w:r>
          </w:p>
        </w:tc>
        <w:tc>
          <w:tcPr>
            <w:tcW w:type="dxa" w:w="1984"/>
          </w:tcPr>
          <w:p>
            <w:r>
              <w:t>Composition de l'équipage</w:t>
            </w:r>
          </w:p>
        </w:tc>
        <w:tc>
          <w:tcPr>
            <w:tcW w:type="dxa" w:w="1134"/>
          </w:tcPr>
          <w:p>
            <w:r>
              <w:t>cf. type team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smurStatus</w:t>
            </w:r>
          </w:p>
        </w:tc>
        <w:tc>
          <w:tcPr>
            <w:tcW w:type="dxa" w:w="1984"/>
          </w:tcPr>
          <w:p>
            <w:r>
              <w:t>Statuts des horaires du SMUR</w:t>
            </w:r>
          </w:p>
        </w:tc>
        <w:tc>
          <w:tcPr>
            <w:tcW w:type="dxa" w:w="1134"/>
          </w:tcPr>
          <w:p>
            <w:r>
              <w:t>cf. type resourceStatus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procedure</w:t>
            </w:r>
          </w:p>
        </w:tc>
        <w:tc>
          <w:tcPr>
            <w:tcW w:type="dxa" w:w="1984"/>
          </w:tcPr>
          <w:p>
            <w:r>
              <w:t>Actes réalisés par le SMUR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 xml:space="preserve">Précise aussi bien les actes réalisés par le SMUR sur le lieu de l'intervention à son arrivée que ceux réalisés avant son intervention. </w:t>
              <w:br/>
              <w:t>A valoriser avec un code de la nomenclature ACTES_SMUR(à venir).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mainDiagnosis</w:t>
            </w:r>
          </w:p>
        </w:tc>
        <w:tc>
          <w:tcPr>
            <w:tcW w:type="dxa" w:w="1984"/>
          </w:tcPr>
          <w:p>
            <w:r>
              <w:t>Diagnostic principal SMUR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Thésaurus SFMU-FEDORU.</w:t>
              <w:br/>
              <w:t>A valoriser par un code de la nomenclature Diagnostic SMUR(à venir).</w:t>
            </w:r>
          </w:p>
        </w:tc>
        <w:tc>
          <w:tcPr>
            <w:tcW w:type="dxa" w:w="1701"/>
          </w:tcPr>
          <w:p>
            <w:r>
              <w:t>MD30.Z</w:t>
            </w:r>
          </w:p>
        </w:tc>
      </w:tr>
      <w:tr>
        <w:tc>
          <w:tcPr>
            <w:tcW w:type="dxa" w:w="1701"/>
          </w:tcPr>
          <w:p>
            <w:r>
              <w:t>associatedDiagnosis</w:t>
            </w:r>
          </w:p>
        </w:tc>
        <w:tc>
          <w:tcPr>
            <w:tcW w:type="dxa" w:w="1984"/>
          </w:tcPr>
          <w:p>
            <w:r>
              <w:t>Diagnostic associé  SMUR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Thésaurus SFMU-FEDORU.</w:t>
              <w:br/>
              <w:t>A valoriser par un code de la nomenclature Diagnostic SMUR (à venir).</w:t>
            </w:r>
          </w:p>
        </w:tc>
        <w:tc>
          <w:tcPr>
            <w:tcW w:type="dxa" w:w="1701"/>
          </w:tcPr>
          <w:p>
            <w:r>
              <w:t>8B22.1</w:t>
            </w:r>
          </w:p>
        </w:tc>
      </w:tr>
    </w:tbl>
    <w:p>
      <w:pPr>
        <w:pStyle w:val="Heading1"/>
      </w:pPr>
      <w:r>
        <w:t>orientation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type</w:t>
            </w:r>
          </w:p>
        </w:tc>
        <w:tc>
          <w:tcPr>
            <w:tcW w:type="dxa" w:w="1984"/>
          </w:tcPr>
          <w:p>
            <w:r>
              <w:t>Type de devenir du patient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Indique si le patient est transporté ou non (Sans transport associé / avec transport associé). </w:t>
              <w:br/>
              <w:t>A valoriser par un code de la nomenclature SI SAMU-NOMENC_DEVENIR_PAT.</w:t>
              <w:br/>
              <w:t xml:space="preserve">Si le type d'orientation est sans transport associé, les objets Destination et Transport sont facultatifs. </w:t>
            </w:r>
          </w:p>
        </w:tc>
        <w:tc>
          <w:tcPr>
            <w:tcW w:type="dxa" w:w="1701"/>
          </w:tcPr>
          <w:p>
            <w:r>
              <w:t>TEMP</w:t>
            </w:r>
          </w:p>
        </w:tc>
      </w:tr>
      <w:tr>
        <w:tc>
          <w:tcPr>
            <w:tcW w:type="dxa" w:w="1701"/>
          </w:tcPr>
          <w:p>
            <w:r>
              <w:t>destination</w:t>
            </w:r>
          </w:p>
        </w:tc>
        <w:tc>
          <w:tcPr>
            <w:tcW w:type="dxa" w:w="1984"/>
          </w:tcPr>
          <w:p>
            <w:r>
              <w:t>Destination</w:t>
            </w:r>
          </w:p>
        </w:tc>
        <w:tc>
          <w:tcPr>
            <w:tcW w:type="dxa" w:w="1134"/>
          </w:tcPr>
          <w:p>
            <w:r>
              <w:t>cf. type destination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decision</w:t>
            </w:r>
          </w:p>
        </w:tc>
        <w:tc>
          <w:tcPr>
            <w:tcW w:type="dxa" w:w="1984"/>
          </w:tcPr>
          <w:p>
            <w:r>
              <w:t>Transport</w:t>
            </w:r>
          </w:p>
        </w:tc>
        <w:tc>
          <w:tcPr>
            <w:tcW w:type="dxa" w:w="1134"/>
          </w:tcPr>
          <w:p>
            <w:r>
              <w:t>cf. type decision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whatsHappen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code</w:t>
            </w:r>
          </w:p>
        </w:tc>
        <w:tc>
          <w:tcPr>
            <w:tcW w:type="dxa" w:w="1984"/>
          </w:tcPr>
          <w:p>
            <w:r>
              <w:t>Code</w:t>
            </w:r>
          </w:p>
        </w:tc>
        <w:tc>
          <w:tcPr>
            <w:tcW w:type="dxa" w:w="1134"/>
          </w:tcPr>
          <w:p>
            <w:r>
              <w:t>string</w:t>
              <w:br/>
              <w:t>(REGEX: ^C\d{2}(\.\d{2}){2}$)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code de la nomenclature associée.</w:t>
            </w:r>
          </w:p>
        </w:tc>
        <w:tc>
          <w:tcPr>
            <w:tcW w:type="dxa" w:w="1701"/>
          </w:tcPr>
          <w:p>
            <w:r>
              <w:t>AVPAR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 court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libellé de la nomenclature associée.</w:t>
              <w:br/>
              <w:t>Dans le cas où un système n'est pas en mesure de reconnaître un code, il peut choisir d'afficher le libellé qui est obligatoirement fourni avec le code.</w:t>
            </w:r>
          </w:p>
        </w:tc>
        <w:tc>
          <w:tcPr>
            <w:tcW w:type="dxa" w:w="1701"/>
          </w:tcPr>
          <w:p>
            <w:r>
              <w:t>Accident routier</w:t>
            </w:r>
          </w:p>
        </w:tc>
      </w:tr>
    </w:tbl>
    <w:p>
      <w:pPr>
        <w:pStyle w:val="Heading1"/>
      </w:pPr>
      <w:r>
        <w:t>healthMotive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code</w:t>
            </w:r>
          </w:p>
        </w:tc>
        <w:tc>
          <w:tcPr>
            <w:tcW w:type="dxa" w:w="1984"/>
          </w:tcPr>
          <w:p>
            <w:r>
              <w:t>Code</w:t>
            </w:r>
          </w:p>
        </w:tc>
        <w:tc>
          <w:tcPr>
            <w:tcW w:type="dxa" w:w="1134"/>
          </w:tcPr>
          <w:p>
            <w:r>
              <w:t>string</w:t>
              <w:br/>
              <w:t>(REGEX: ^M\d{2}\.\d{2}(\.\d{2})?$)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code de la nomenclature associée.</w:t>
            </w:r>
          </w:p>
        </w:tc>
        <w:tc>
          <w:tcPr>
            <w:tcW w:type="dxa" w:w="1701"/>
          </w:tcPr>
          <w:p>
            <w:r>
              <w:t>AVPAR</w:t>
            </w:r>
          </w:p>
        </w:tc>
      </w:tr>
      <w:tr>
        <w:tc>
          <w:tcPr>
            <w:tcW w:type="dxa" w:w="1701"/>
          </w:tcPr>
          <w:p>
            <w:r>
              <w:t>label</w:t>
            </w:r>
          </w:p>
        </w:tc>
        <w:tc>
          <w:tcPr>
            <w:tcW w:type="dxa" w:w="1984"/>
          </w:tcPr>
          <w:p>
            <w:r>
              <w:t>Libellé court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avec le libellé de la nomenclature associée.</w:t>
              <w:br/>
              <w:t>Dans le cas où un système n'est pas en mesure de reconnaître un code, il peut choisir d'afficher le libellé qui est obligatoirement fourni avec le code.</w:t>
            </w:r>
          </w:p>
        </w:tc>
        <w:tc>
          <w:tcPr>
            <w:tcW w:type="dxa" w:w="1701"/>
          </w:tcPr>
          <w:p>
            <w:r>
              <w:t>Accident routier</w:t>
            </w:r>
          </w:p>
        </w:tc>
      </w:tr>
    </w:tbl>
    <w:p>
      <w:pPr>
        <w:pStyle w:val="Heading1"/>
      </w:pPr>
      <w:r>
        <w:t>residentialAddress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inseeCode</w:t>
            </w:r>
          </w:p>
        </w:tc>
        <w:tc>
          <w:tcPr>
            <w:tcW w:type="dxa" w:w="1984"/>
          </w:tcPr>
          <w:p>
            <w:r>
              <w:t>Code INSEE de la commune de résidence</w:t>
            </w:r>
          </w:p>
        </w:tc>
        <w:tc>
          <w:tcPr>
            <w:tcW w:type="dxa" w:w="1134"/>
          </w:tcPr>
          <w:p>
            <w:r>
              <w:t>string</w:t>
              <w:br/>
              <w:t>(REGEX: ^[0-9]{5}$)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Code INSEE de la commune actuelle sur la base du Code Officiel géographique en vigueur. Obligatoire si le nom de la commune est renseigné.</w:t>
              <w:br/>
              <w:t xml:space="preserve">Le Code INSEE peut également précisé le pays de résidence, si étranger. </w:t>
            </w:r>
          </w:p>
        </w:tc>
        <w:tc>
          <w:tcPr>
            <w:tcW w:type="dxa" w:w="1701"/>
          </w:tcPr>
          <w:p>
            <w:r>
              <w:t>92300</w:t>
            </w:r>
          </w:p>
        </w:tc>
      </w:tr>
      <w:tr>
        <w:tc>
          <w:tcPr>
            <w:tcW w:type="dxa" w:w="1701"/>
          </w:tcPr>
          <w:p>
            <w:r>
              <w:t>city</w:t>
            </w:r>
          </w:p>
        </w:tc>
        <w:tc>
          <w:tcPr>
            <w:tcW w:type="dxa" w:w="1984"/>
          </w:tcPr>
          <w:p>
            <w:r>
              <w:t>Nom de la commune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Nom officiel de la commune actuelle</w:t>
            </w:r>
          </w:p>
        </w:tc>
        <w:tc>
          <w:tcPr>
            <w:tcW w:type="dxa" w:w="1701"/>
          </w:tcPr>
          <w:p>
            <w:r>
              <w:t>Levallois-Perret</w:t>
            </w:r>
          </w:p>
        </w:tc>
      </w:tr>
    </w:tbl>
    <w:p>
      <w:pPr>
        <w:pStyle w:val="Heading1"/>
      </w:pPr>
      <w:r>
        <w:t>location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type</w:t>
            </w:r>
          </w:p>
        </w:tc>
        <w:tc>
          <w:tcPr>
            <w:tcW w:type="dxa" w:w="1984"/>
          </w:tcPr>
          <w:p>
            <w:r>
              <w:t>Type de lieu d’intervention</w:t>
            </w:r>
          </w:p>
        </w:tc>
        <w:tc>
          <w:tcPr>
            <w:tcW w:type="dxa" w:w="1134"/>
          </w:tcPr>
          <w:p>
            <w:r>
              <w:t>string</w:t>
              <w:br/>
              <w:t>(REGEX: ^L\d{2}(\.\d{2}){2}$)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A valoriser avec un code de la nomenclature CISU-Code_Type_de_lieu.</w:t>
            </w:r>
          </w:p>
        </w:tc>
        <w:tc>
          <w:tcPr>
            <w:tcW w:type="dxa" w:w="1701"/>
          </w:tcPr>
          <w:p>
            <w:r>
              <w:t>DOMPAV</w:t>
            </w:r>
          </w:p>
        </w:tc>
      </w:tr>
      <w:tr>
        <w:tc>
          <w:tcPr>
            <w:tcW w:type="dxa" w:w="1701"/>
          </w:tcPr>
          <w:p>
            <w:r>
              <w:t>finessGeo</w:t>
            </w:r>
          </w:p>
        </w:tc>
        <w:tc>
          <w:tcPr>
            <w:tcW w:type="dxa" w:w="1984"/>
          </w:tcPr>
          <w:p>
            <w:r>
              <w:t xml:space="preserve">FINESS géographique de l’établissement 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Finess géographique et juridique de l’établissement de santé. </w:t>
              <w:br/>
              <w:t xml:space="preserve">A renseigner uniquement si l'intervention a lieu dans un établissement de santé. 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service</w:t>
            </w:r>
          </w:p>
        </w:tc>
        <w:tc>
          <w:tcPr>
            <w:tcW w:type="dxa" w:w="1984"/>
          </w:tcPr>
          <w:p>
            <w:r>
              <w:t xml:space="preserve">Unité fonctionnelle 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Unité fonctionnelle de l'établissement de santé. </w:t>
              <w:br/>
              <w:t xml:space="preserve">A renseigner uniquement si l'intervention a lieu dans un établissement de santé. 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detailedAddress</w:t>
            </w:r>
          </w:p>
        </w:tc>
        <w:tc>
          <w:tcPr>
            <w:tcW w:type="dxa" w:w="1984"/>
          </w:tcPr>
          <w:p>
            <w:r>
              <w:t>Adresse de l'intervention</w:t>
            </w:r>
          </w:p>
        </w:tc>
        <w:tc>
          <w:tcPr>
            <w:tcW w:type="dxa" w:w="1134"/>
          </w:tcPr>
          <w:p>
            <w:r>
              <w:t>cf. type detailedAddress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/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team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doctor</w:t>
            </w:r>
          </w:p>
        </w:tc>
        <w:tc>
          <w:tcPr>
            <w:tcW w:type="dxa" w:w="1984"/>
          </w:tcPr>
          <w:p>
            <w:r>
              <w:t>Médecin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Permet d'identifier si un médecin compose l'équipe.</w:t>
              <w:br/>
              <w:t xml:space="preserve">Cette donnée peut être automatiquement déduite, dès que le nom et prénom du médecin est saisi sur la tablette. </w:t>
            </w:r>
          </w:p>
        </w:tc>
        <w:tc>
          <w:tcPr>
            <w:tcW w:type="dxa" w:w="1701"/>
          </w:tcPr>
          <w:p>
            <w:r>
              <w:t>OUI</w:t>
            </w:r>
          </w:p>
        </w:tc>
      </w:tr>
      <w:tr>
        <w:tc>
          <w:tcPr>
            <w:tcW w:type="dxa" w:w="1701"/>
          </w:tcPr>
          <w:p>
            <w:r>
              <w:t>nurse</w:t>
            </w:r>
          </w:p>
        </w:tc>
        <w:tc>
          <w:tcPr>
            <w:tcW w:type="dxa" w:w="1984"/>
          </w:tcPr>
          <w:p>
            <w:r>
              <w:t>Infirmier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Permet d'identifier si un infirmier compose l'équipe.</w:t>
              <w:br/>
              <w:t xml:space="preserve">Cette donnée peut être automatiquement déduite, dès que le nom et prénom de l'infirmier est saisi sur la tablette. </w:t>
            </w:r>
          </w:p>
        </w:tc>
        <w:tc>
          <w:tcPr>
            <w:tcW w:type="dxa" w:w="1701"/>
          </w:tcPr>
          <w:p>
            <w:r>
              <w:t>NON</w:t>
            </w:r>
          </w:p>
        </w:tc>
      </w:tr>
      <w:tr>
        <w:tc>
          <w:tcPr>
            <w:tcW w:type="dxa" w:w="1701"/>
          </w:tcPr>
          <w:p>
            <w:r>
              <w:t>driver</w:t>
            </w:r>
          </w:p>
        </w:tc>
        <w:tc>
          <w:tcPr>
            <w:tcW w:type="dxa" w:w="1984"/>
          </w:tcPr>
          <w:p>
            <w:r>
              <w:t>Ambulancier/Pilote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Permet d'identifier si un ambulancier compose l'équipe.</w:t>
              <w:br/>
              <w:t xml:space="preserve">Cette donnée peut être automatiquement déduite, dès que le nom et prénom de l'ambulancier est saisi sur la tablette. </w:t>
            </w:r>
          </w:p>
        </w:tc>
        <w:tc>
          <w:tcPr>
            <w:tcW w:type="dxa" w:w="1701"/>
          </w:tcPr>
          <w:p>
            <w:r>
              <w:t>OUI</w:t>
            </w:r>
          </w:p>
        </w:tc>
      </w:tr>
    </w:tbl>
    <w:p>
      <w:pPr>
        <w:pStyle w:val="Heading1"/>
      </w:pPr>
      <w:r>
        <w:t>resourceStatus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departSmur</w:t>
            </w:r>
          </w:p>
        </w:tc>
        <w:tc>
          <w:tcPr>
            <w:tcW w:type="dxa" w:w="1984"/>
          </w:tcPr>
          <w:p>
            <w:r>
              <w:t>Date et heure du départ de la base SMUR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Date et heure à laquelle le SMUR quitte sa base. </w:t>
              <w:br/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arrivedSmur</w:t>
            </w:r>
          </w:p>
        </w:tc>
        <w:tc>
          <w:tcPr>
            <w:tcW w:type="dxa" w:w="1984"/>
          </w:tcPr>
          <w:p>
            <w:r>
              <w:t>Date et heure de l’arrivée sur les lieux de l’intervention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Date et heure à laquelle le SMUR arrive sur les lieux de l'intervention. </w:t>
              <w:br/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departLocation</w:t>
            </w:r>
          </w:p>
        </w:tc>
        <w:tc>
          <w:tcPr>
            <w:tcW w:type="dxa" w:w="1984"/>
          </w:tcPr>
          <w:p>
            <w:r>
              <w:t>Date et heure du départ des lieux de l’intervention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Date et heure à laquelle le SMUR quitte les lieux de l'intervention. </w:t>
              <w:br/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arrivedDestination</w:t>
            </w:r>
          </w:p>
        </w:tc>
        <w:tc>
          <w:tcPr>
            <w:tcW w:type="dxa" w:w="1984"/>
          </w:tcPr>
          <w:p>
            <w:r>
              <w:t>Date et heure d’arrivée à destination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 xml:space="preserve">Date et heure à laquelle le SMUR qui transporte arrive à destination. </w:t>
              <w:br/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teamAvailable</w:t>
            </w:r>
          </w:p>
        </w:tc>
        <w:tc>
          <w:tcPr>
            <w:tcW w:type="dxa" w:w="1984"/>
          </w:tcPr>
          <w:p>
            <w:r>
              <w:t>Date et heure de disponibilité de l’équipe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Date et heure à laquelle le SMUR est disponible (dispose de tout les équipements pour faire une autre intervention). </w:t>
              <w:br/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  <w:tr>
        <w:tc>
          <w:tcPr>
            <w:tcW w:type="dxa" w:w="1701"/>
          </w:tcPr>
          <w:p>
            <w:r>
              <w:t>returnSmur</w:t>
            </w:r>
          </w:p>
        </w:tc>
        <w:tc>
          <w:tcPr>
            <w:tcW w:type="dxa" w:w="1984"/>
          </w:tcPr>
          <w:p>
            <w:r>
              <w:t>Date et heure de retour à la base SMUR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Date et heure à laquelle le SMUR est de retour à la base. </w:t>
              <w:br/>
              <w:t>s'exprime au format ISO 8601 YYY-MM-DDThh:mm:ss</w:t>
            </w:r>
          </w:p>
        </w:tc>
        <w:tc>
          <w:tcPr>
            <w:tcW w:type="dxa" w:w="1701"/>
          </w:tcPr>
          <w:p>
            <w:r>
              <w:t>2022-09-27T08:23:34+02:00</w:t>
            </w:r>
          </w:p>
        </w:tc>
      </w:tr>
    </w:tbl>
    <w:p>
      <w:pPr>
        <w:pStyle w:val="Heading1"/>
      </w:pPr>
      <w:r>
        <w:t>detailedAddress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inseeCode</w:t>
            </w:r>
          </w:p>
        </w:tc>
        <w:tc>
          <w:tcPr>
            <w:tcW w:type="dxa" w:w="1984"/>
          </w:tcPr>
          <w:p>
            <w:r>
              <w:t>Code INSEE de la commune</w:t>
            </w:r>
          </w:p>
        </w:tc>
        <w:tc>
          <w:tcPr>
            <w:tcW w:type="dxa" w:w="1134"/>
          </w:tcPr>
          <w:p>
            <w:r>
              <w:t>string</w:t>
              <w:br/>
              <w:t>(REGEX: ^[0-9]{5}$)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Code INSEE de la commune actuelle sur la base du Code Officiel géographique en vigueur. Obligatoire si le nom de la commune est renseigné.</w:t>
              <w:br/>
              <w:t xml:space="preserve">Le Code INSEE peut également précisé le pays d'intervention, si étranger. </w:t>
            </w:r>
          </w:p>
        </w:tc>
        <w:tc>
          <w:tcPr>
            <w:tcW w:type="dxa" w:w="1701"/>
          </w:tcPr>
          <w:p>
            <w:r>
              <w:t>92300</w:t>
            </w:r>
          </w:p>
        </w:tc>
      </w:tr>
      <w:tr>
        <w:tc>
          <w:tcPr>
            <w:tcW w:type="dxa" w:w="1701"/>
          </w:tcPr>
          <w:p>
            <w:r>
              <w:t>city</w:t>
            </w:r>
          </w:p>
        </w:tc>
        <w:tc>
          <w:tcPr>
            <w:tcW w:type="dxa" w:w="1984"/>
          </w:tcPr>
          <w:p>
            <w:r>
              <w:t>Nom de la commune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Nom officiel de la commune actuelle</w:t>
            </w:r>
          </w:p>
        </w:tc>
        <w:tc>
          <w:tcPr>
            <w:tcW w:type="dxa" w:w="1701"/>
          </w:tcPr>
          <w:p>
            <w:r>
              <w:t>Levallois-Perret</w:t>
            </w:r>
          </w:p>
        </w:tc>
      </w:tr>
    </w:tbl>
    <w:p>
      <w:pPr>
        <w:pStyle w:val="Heading1"/>
      </w:pPr>
      <w:r>
        <w:t>destination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destinationCountry</w:t>
            </w:r>
          </w:p>
        </w:tc>
        <w:tc>
          <w:tcPr>
            <w:tcW w:type="dxa" w:w="1984"/>
          </w:tcPr>
          <w:p>
            <w:r>
              <w:t>Pays de destination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ISO 3166-ISO3166-2)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par le code de la nomenclature associée</w:t>
            </w:r>
          </w:p>
        </w:tc>
        <w:tc>
          <w:tcPr>
            <w:tcW w:type="dxa" w:w="1701"/>
          </w:tcPr>
          <w:p>
            <w:r>
              <w:t>FR</w:t>
            </w:r>
          </w:p>
        </w:tc>
      </w:tr>
      <w:tr>
        <w:tc>
          <w:tcPr>
            <w:tcW w:type="dxa" w:w="1701"/>
          </w:tcPr>
          <w:p>
            <w:r>
              <w:t>destinationCategory</w:t>
            </w:r>
          </w:p>
        </w:tc>
        <w:tc>
          <w:tcPr>
            <w:tcW w:type="dxa" w:w="1984"/>
          </w:tcPr>
          <w:p>
            <w:r>
              <w:t>Catégorie de l'établissement de destination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A valoriser par le code de la nomenclature associée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healthcareType</w:t>
            </w:r>
          </w:p>
        </w:tc>
        <w:tc>
          <w:tcPr>
            <w:tcW w:type="dxa" w:w="1984"/>
          </w:tcPr>
          <w:p>
            <w:r>
              <w:t>Type d'activité de soins de l'unité fonctionnelle de destination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A valoriser par le code de la nomenclature ActiviteOperationnelle (à venir). 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finess</w:t>
            </w:r>
          </w:p>
        </w:tc>
        <w:tc>
          <w:tcPr>
            <w:tcW w:type="dxa" w:w="1984"/>
          </w:tcPr>
          <w:p>
            <w:r>
              <w:t>FINESS géographique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FINESS géographique de l’établissement de destination (9 chiffres)</w:t>
            </w:r>
          </w:p>
        </w:tc>
        <w:tc>
          <w:tcPr>
            <w:tcW w:type="dxa" w:w="1701"/>
          </w:tcPr>
          <w:p>
            <w:r/>
          </w:p>
        </w:tc>
      </w:tr>
    </w:tbl>
    <w:p>
      <w:pPr>
        <w:pStyle w:val="Heading1"/>
      </w:pPr>
      <w:r>
        <w:t>decision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resourceType</w:t>
            </w:r>
          </w:p>
        </w:tc>
        <w:tc>
          <w:tcPr>
            <w:tcW w:type="dxa" w:w="1984"/>
          </w:tcPr>
          <w:p>
            <w:r>
              <w:t>Moyen de transport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HubSante.typeRessource)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 xml:space="preserve">Précise le type de moyen engagé dans l'intervention (SMUR, TSU, HOSPIT, etc.). </w:t>
              <w:br/>
              <w:t>A valoriser par un code de la nomenclature SI-SAMU-TYPE_MOYEN.</w:t>
            </w:r>
          </w:p>
        </w:tc>
        <w:tc>
          <w:tcPr>
            <w:tcW w:type="dxa" w:w="1701"/>
          </w:tcPr>
          <w:p>
            <w:r>
              <w:t>SMUR</w:t>
            </w:r>
          </w:p>
        </w:tc>
      </w:tr>
      <w:tr>
        <w:tc>
          <w:tcPr>
            <w:tcW w:type="dxa" w:w="1701"/>
          </w:tcPr>
          <w:p>
            <w:r>
              <w:t>vehicleType</w:t>
            </w:r>
          </w:p>
        </w:tc>
        <w:tc>
          <w:tcPr>
            <w:tcW w:type="dxa" w:w="1984"/>
          </w:tcPr>
          <w:p>
            <w:r>
              <w:t>Type de vecteur de transport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HubSante.typeVecteur)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Précise le type de véhicule terrestre / aérien / maritime engagé dans l'intervention.</w:t>
              <w:br/>
              <w:t>A valoriser par un code de la nomenclature SI-SAMU-TYPE_VECTEUR.</w:t>
            </w:r>
          </w:p>
        </w:tc>
        <w:tc>
          <w:tcPr>
            <w:tcW w:type="dxa" w:w="1701"/>
          </w:tcPr>
          <w:p>
            <w:r>
              <w:t>AR, VLM, VSAV</w:t>
            </w:r>
          </w:p>
        </w:tc>
      </w:tr>
      <w:tr>
        <w:tc>
          <w:tcPr>
            <w:tcW w:type="dxa" w:w="1701"/>
          </w:tcPr>
          <w:p>
            <w:r>
              <w:t>medicalLevel</w:t>
            </w:r>
          </w:p>
        </w:tc>
        <w:tc>
          <w:tcPr>
            <w:tcW w:type="dxa" w:w="1984"/>
          </w:tcPr>
          <w:p>
            <w:r>
              <w:t>Niveau de médicalisation du transport</w:t>
            </w:r>
          </w:p>
        </w:tc>
        <w:tc>
          <w:tcPr>
            <w:tcW w:type="dxa" w:w="1134"/>
          </w:tcPr>
          <w:p>
            <w:r>
              <w:t>string</w:t>
              <w:br/>
              <w:t>(NOMENCLATURE: HubSante.typePEC)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Type d’équipe (médical, paramédicale, secouriste).</w:t>
              <w:br/>
              <w:t>A valoriser par un code de la nomenclature SI-SAMU-NIVSOIN.</w:t>
            </w:r>
          </w:p>
        </w:tc>
        <w:tc>
          <w:tcPr>
            <w:tcW w:type="dxa" w:w="1701"/>
          </w:tcPr>
          <w:p>
            <w:r>
              <w:t>PARAMED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