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documentLink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caseId</w:t>
            </w:r>
          </w:p>
        </w:tc>
        <w:tc>
          <w:tcPr>
            <w:tcW w:type="dxa" w:w="1984"/>
          </w:tcPr>
          <w:p>
            <w:r>
              <w:t>Identifiant partagé du dossier de régulation médicale (DRM)</w:t>
            </w:r>
          </w:p>
        </w:tc>
        <w:tc>
          <w:tcPr>
            <w:tcW w:type="dxa" w:w="1134"/>
          </w:tcPr>
          <w:p>
            <w:r>
              <w:t>string</w:t>
              <w:br/>
              <w:t>(REGEX:^([a-zA-Z0-9_-]+\.?){4,10}$)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Identifiant partagé du dossier, généré une seule fois par le système du partenaire qui recoit la primo-demande de secours (créateur du dossier). </w:t>
              <w:br/>
              <w:t xml:space="preserve">Il est valorisé comme suit lors de sa création : </w:t>
              <w:br/>
              <w:t>{pays}.{domaine}.{organisation}.{senderCaseId}</w:t>
              <w:br/>
              <w:br/>
              <w:t>Il doit pouvoir être généré de façon décentralisée et ne présenter aucune ambiguïté.</w:t>
              <w:br/>
              <w:t xml:space="preserve"> Il doit être unique dans l'ensemble des systèmes : le numéro de dossier fourni par celui qui génère l'identifiant partagé doit donc être un numéro unique dans son système.</w:t>
            </w:r>
          </w:p>
        </w:tc>
        <w:tc>
          <w:tcPr>
            <w:tcW w:type="dxa" w:w="1701"/>
          </w:tcPr>
          <w:p>
            <w:r>
              <w:t>fr.health.samu440.DRFR15440241550012</w:t>
            </w:r>
          </w:p>
        </w:tc>
      </w:tr>
      <w:tr>
        <w:tc>
          <w:tcPr>
            <w:tcW w:type="dxa" w:w="1701"/>
          </w:tcPr>
          <w:p>
            <w:r>
              <w:t>patientId</w:t>
            </w:r>
          </w:p>
        </w:tc>
        <w:tc>
          <w:tcPr>
            <w:tcW w:type="dxa" w:w="1984"/>
          </w:tcPr>
          <w:p>
            <w:r>
              <w:t>Identifiant partagé du patient</w:t>
            </w:r>
          </w:p>
        </w:tc>
        <w:tc>
          <w:tcPr>
            <w:tcW w:type="dxa" w:w="1134"/>
          </w:tcPr>
          <w:p>
            <w:r>
              <w:t>string</w:t>
              <w:br/>
              <w:t>(REGEX: ^([a-zA-Z0-9_-]+\.){3,8}patient(\.[a-zA-Z0-9_-]+){1,2}$)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Indique l'identifiant partagé du patient auquel les documents sont rattachés</w:t>
            </w:r>
          </w:p>
        </w:tc>
        <w:tc>
          <w:tcPr>
            <w:tcW w:type="dxa" w:w="1701"/>
          </w:tcPr>
          <w:p>
            <w:r>
              <w:t>fr.health.samu690.patient.P23AZ59</w:t>
              <w:br/>
              <w:t>fr.health.samu690.patient.DRFR15690242370035.1</w:t>
            </w:r>
          </w:p>
        </w:tc>
      </w:tr>
      <w:tr>
        <w:tc>
          <w:tcPr>
            <w:tcW w:type="dxa" w:w="1701"/>
          </w:tcPr>
          <w:p>
            <w:r>
              <w:t>code</w:t>
            </w:r>
          </w:p>
        </w:tc>
        <w:tc>
          <w:tcPr>
            <w:tcW w:type="dxa" w:w="1984"/>
          </w:tcPr>
          <w:p>
            <w:r>
              <w:t>Code d'accès au bilan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Code unitaire par bilan qui permet à l'utilisateur qui reçoit ce lien d'ouvrir le bilan lorsque celui ci ne nécessite pas une connexion nominative mais un code bilan </w:t>
            </w:r>
          </w:p>
        </w:tc>
        <w:tc>
          <w:tcPr>
            <w:tcW w:type="dxa" w:w="1701"/>
          </w:tcPr>
          <w:p>
            <w:r>
              <w:t>5f5h8s9</w:t>
            </w:r>
          </w:p>
        </w:tc>
      </w:tr>
      <w:tr>
        <w:tc>
          <w:tcPr>
            <w:tcW w:type="dxa" w:w="1701"/>
          </w:tcPr>
          <w:p>
            <w:r>
              <w:t>document</w:t>
            </w:r>
          </w:p>
        </w:tc>
        <w:tc>
          <w:tcPr>
            <w:tcW w:type="dxa" w:w="1984"/>
          </w:tcPr>
          <w:p>
            <w:r>
              <w:t>Documents</w:t>
            </w:r>
          </w:p>
        </w:tc>
        <w:tc>
          <w:tcPr>
            <w:tcW w:type="dxa" w:w="1134"/>
          </w:tcPr>
          <w:p>
            <w:r>
              <w:t>cf. type document</w:t>
            </w:r>
          </w:p>
        </w:tc>
        <w:tc>
          <w:tcPr>
            <w:tcW w:type="dxa" w:w="1417"/>
          </w:tcPr>
          <w:p>
            <w:r>
              <w:t>1..n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document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documentType</w:t>
            </w:r>
          </w:p>
        </w:tc>
        <w:tc>
          <w:tcPr>
            <w:tcW w:type="dxa" w:w="1984"/>
          </w:tcPr>
          <w:p>
            <w:r>
              <w:t>Type de document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Informe l'utilisateur du type de document que le lien URL permet d'ouvrir</w:t>
            </w:r>
          </w:p>
        </w:tc>
        <w:tc>
          <w:tcPr>
            <w:tcW w:type="dxa" w:w="1701"/>
          </w:tcPr>
          <w:p>
            <w:r>
              <w:t>Photo, ECG, bilan pdf, prescription, carte d'identité</w:t>
            </w:r>
          </w:p>
        </w:tc>
      </w:tr>
      <w:tr>
        <w:tc>
          <w:tcPr>
            <w:tcW w:type="dxa" w:w="1701"/>
          </w:tcPr>
          <w:p>
            <w:r>
              <w:t>url</w:t>
            </w:r>
          </w:p>
        </w:tc>
        <w:tc>
          <w:tcPr>
            <w:tcW w:type="dxa" w:w="1984"/>
          </w:tcPr>
          <w:p>
            <w:r>
              <w:t>URL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URL qui permet à l'utilisateur du LRM d'ouvrir le type de document précisé dans le champ précédent</w:t>
            </w:r>
          </w:p>
        </w:tc>
        <w:tc>
          <w:tcPr>
            <w:tcW w:type="dxa" w:w="1701"/>
          </w:tcPr>
          <w:p>
            <w:r>
              <w:t>https://hub.esante.gouv.fr/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