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(ENUM: SMUR, SIS)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position</w:t>
            </w:r>
          </w:p>
        </w:tc>
        <w:tc>
          <w:tcPr>
            <w:tcW w:type="dxa" w:w="1984"/>
          </w:tcPr>
          <w:p>
            <w:r>
              <w:t>Position du vecteur</w:t>
            </w:r>
          </w:p>
        </w:tc>
        <w:tc>
          <w:tcPr>
            <w:tcW w:type="dxa" w:w="1134"/>
          </w:tcPr>
          <w:p>
            <w:r>
              <w:t>cf. type position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transmettre la position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position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la position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associée à la position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 de la position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transmettre les coordonnées GPS du vecteur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PHNADD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>Latitude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latitude de la position</w:t>
            </w:r>
          </w:p>
        </w:tc>
        <w:tc>
          <w:tcPr>
            <w:tcW w:type="dxa" w:w="1701"/>
          </w:tcPr>
          <w:p>
            <w:r>
              <w:t>48.866667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longitude de la position</w:t>
            </w:r>
          </w:p>
        </w:tc>
        <w:tc>
          <w:tcPr>
            <w:tcW w:type="dxa" w:w="1701"/>
          </w:tcPr>
          <w:p>
            <w:r>
              <w:t>2.333333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