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(https://github.com/ansforge/SAMU-Hub-Config/pull/1057)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^([a-zA-Z0-9_-]+\.?){4,9}$)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supplémentaires modifiées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concaténer en une seule note toutes les autres valeurs modifiées dans le dossier, ne figurant pas de manière structurée dans le RS-EDA-MAJ.</w:t>
            </w:r>
          </w:p>
        </w:tc>
        <w:tc>
          <w:tcPr>
            <w:tcW w:type="dxa" w:w="1701"/>
          </w:tcPr>
          <w:p>
            <w:r>
              <w:t>adresse : 7bis rue du château - Neuilly sur Seine</w:t>
            </w:r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medicalNoteId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^([a-zA-Z0-9_-]+\.){3,8}medicalNote(\.[a-zA-Z0-9_-]+){1,2}$)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HubSante.typeDecision)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HubSante.typeRessource)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HubSante.typeOrientation)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  <w:tr>
        <w:tc>
          <w:tcPr>
            <w:tcW w:type="dxa" w:w="1701"/>
          </w:tcPr>
          <w:p>
            <w:r>
              <w:t>destination</w:t>
            </w:r>
          </w:p>
        </w:tc>
        <w:tc>
          <w:tcPr>
            <w:tcW w:type="dxa" w:w="1984"/>
          </w:tcPr>
          <w:p>
            <w:r>
              <w:t>Localisation de la destination d'orientation</w:t>
            </w:r>
          </w:p>
        </w:tc>
        <w:tc>
          <w:tcPr>
            <w:tcW w:type="dxa" w:w="1134"/>
          </w:tcPr>
          <w:p>
            <w:r>
              <w:t>cf. type destination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de la destination en cas de décision d'orientation.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^R\d{2}$)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>
              <w:t>ACTIF</w:t>
            </w:r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HubSante.systeme)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HubSante.objetSource)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generalPractitioner</w:t>
            </w:r>
          </w:p>
        </w:tc>
        <w:tc>
          <w:tcPr>
            <w:tcW w:type="dxa" w:w="1984"/>
          </w:tcPr>
          <w:p>
            <w:r>
              <w:t xml:space="preserve">Médecin traitant </w:t>
            </w:r>
          </w:p>
        </w:tc>
        <w:tc>
          <w:tcPr>
            <w:tcW w:type="dxa" w:w="1134"/>
          </w:tcPr>
          <w:p>
            <w:r>
              <w:t>cf. type generalPractitioner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^P[0-9]{1,3}[YMWD]$)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HubSante.niveauSoin)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  <w:tr>
        <w:tc>
          <w:tcPr>
            <w:tcW w:type="dxa" w:w="1701"/>
          </w:tcPr>
          <w:p>
            <w:r>
              <w:t>medicalHistory</w:t>
            </w:r>
          </w:p>
        </w:tc>
        <w:tc>
          <w:tcPr>
            <w:tcW w:type="dxa" w:w="1984"/>
          </w:tcPr>
          <w:p>
            <w:r>
              <w:t>Antécédents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Texte libre  pour décrire les antécédents du patient. 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Arthrite, asthme</w:t>
            </w:r>
          </w:p>
        </w:tc>
      </w:tr>
      <w:tr>
        <w:tc>
          <w:tcPr>
            <w:tcW w:type="dxa" w:w="1701"/>
          </w:tcPr>
          <w:p>
            <w:r>
              <w:t>treatment</w:t>
            </w:r>
          </w:p>
        </w:tc>
        <w:tc>
          <w:tcPr>
            <w:tcW w:type="dxa" w:w="1984"/>
          </w:tcPr>
          <w:p>
            <w:r>
              <w:t>Traitements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Texte libre  pour décrire les traitements du patient.</w:t>
              <w:br/>
              <w:t xml:space="preserve">Si ce n'est pas géré de manière structurés : à afficher dans une note liée au patient en réception. </w:t>
            </w:r>
          </w:p>
        </w:tc>
        <w:tc>
          <w:tcPr>
            <w:tcW w:type="dxa" w:w="1701"/>
          </w:tcPr>
          <w:p>
            <w:r>
              <w:t>Amoxicilline 1 g  et paracétamol 1 g depuis 5 jours.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CIM10.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HubSante.typeIdPatient)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generalPractitioner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detailedName</w:t>
            </w:r>
          </w:p>
        </w:tc>
        <w:tc>
          <w:tcPr>
            <w:tcW w:type="dxa" w:w="1984"/>
          </w:tcPr>
          <w:p>
            <w:r>
              <w:t>Prénom &amp; nom usuel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Nom du médecin traitant du patient si connu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rppsId</w:t>
            </w:r>
          </w:p>
        </w:tc>
        <w:tc>
          <w:tcPr>
            <w:tcW w:type="dxa" w:w="1984"/>
          </w:tcPr>
          <w:p>
            <w:r>
              <w:t>Identifiant RPPS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Numéro RPPS du médecin traitant</w:t>
            </w:r>
          </w:p>
        </w:tc>
        <w:tc>
          <w:tcPr>
            <w:tcW w:type="dxa" w:w="1701"/>
          </w:tcPr>
          <w:p>
            <w:r>
              <w:t>10000668540</w:t>
            </w:r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 médecin</w:t>
            </w:r>
          </w:p>
        </w:tc>
        <w:tc>
          <w:tcPr>
            <w:tcW w:type="dxa" w:w="1134"/>
          </w:tcPr>
          <w:p>
            <w:r>
              <w:t>cf. type personalContact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Type et valeur des URI utilisées par le patient concerné. Permet de passer une adresse postale concaténée.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personalContact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l'URI utilisée. 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de l'URI utilisée.</w:t>
              <w:br/>
              <w:t>Le format attendu pour un numéro de téléphone est le suivant : +{indicatif pays}{numéro de téléphone}.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(REGEX: ^[A-Z]\d{2}(\.[\d\+\-]{1,3})?$)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destination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externalLocationId</w:t>
            </w:r>
          </w:p>
        </w:tc>
        <w:tc>
          <w:tcPr>
            <w:tcW w:type="dxa" w:w="1984"/>
          </w:tcPr>
          <w:p>
            <w:r>
              <w:t>Identifiant(s) du lieu</w:t>
            </w:r>
          </w:p>
        </w:tc>
        <w:tc>
          <w:tcPr>
            <w:tcW w:type="dxa" w:w="1134"/>
          </w:tcPr>
          <w:p>
            <w:r>
              <w:t>cf. type externalLocationId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transmettre le lien avec l'identifiant du lieu dans une base de données externes possiblement connue des autres acteurs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complémentaires sur la localisation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compléter les informations liées à la localisation.</w:t>
              <w:br/>
              <w:br/>
              <w:t>Spécificités 15-15 :</w:t>
              <w:br/>
              <w:t xml:space="preserve">En envoi, il est souhaitable de mapper ici toute valeur en lien avec la localisation de l'intervention qui ne pourrait pas être transmise de manière structurée dans l'objet location. </w:t>
              <w:br/>
              <w:t>En réception, il est très important d'intégrer et d'afficher la valeur de cet attribut, qui est suceptible de contenir des informations d'accès importantes.</w:t>
            </w:r>
          </w:p>
        </w:tc>
        <w:tc>
          <w:tcPr>
            <w:tcW w:type="dxa" w:w="1701"/>
          </w:tcPr>
          <w:p>
            <w:r>
              <w:t>Hopital Henri Mignot</w:t>
            </w:r>
          </w:p>
        </w:tc>
      </w:tr>
    </w:tbl>
    <w:p>
      <w:pPr>
        <w:pStyle w:val="Heading1"/>
      </w:pPr>
      <w:r>
        <w:t>externalLocationId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HubSante.idLieu)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l'identifiant fourni. Cf nomenclature associée.</w:t>
            </w:r>
          </w:p>
        </w:tc>
        <w:tc>
          <w:tcPr>
            <w:tcW w:type="dxa" w:w="1701"/>
          </w:tcPr>
          <w:p>
            <w:r>
              <w:t>FINESS géographique, FINESS administratif, SIREN, SIRET, APE, NAF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  <w:br/>
              <w:t>(REGEX: ^([0-9A-Z]{2}0\d{5}\d|\d{9}|\d{14}|\d{4}[A-Za-z])$)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en lui-même</w:t>
            </w:r>
          </w:p>
        </w:tc>
        <w:tc>
          <w:tcPr>
            <w:tcW w:type="dxa" w:w="1701"/>
          </w:tcPr>
          <w:p>
            <w:r>
              <w:t xml:space="preserve">920000650 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