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EMSI-CONTEXT.LEVEL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STRTGC</w:t>
            </w:r>
          </w:p>
        </w:tc>
        <w:tc>
          <w:tcPr>
            <w:tcW w:type="dxa" w:w="2160"/>
          </w:tcPr>
          <w:p>
            <w:r>
              <w:t xml:space="preserve">Stratégique 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OPR</w:t>
            </w:r>
          </w:p>
        </w:tc>
        <w:tc>
          <w:tcPr>
            <w:tcW w:type="dxa" w:w="2160"/>
          </w:tcPr>
          <w:p>
            <w:r>
              <w:t xml:space="preserve">Opérationnel 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TACTCL</w:t>
            </w:r>
          </w:p>
        </w:tc>
        <w:tc>
          <w:tcPr>
            <w:tcW w:type="dxa" w:w="2160"/>
          </w:tcPr>
          <w:p>
            <w:r>
              <w:t>Tactique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