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SI-SAMU-PRIORITE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la priorité de régulation médicale.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Urgence vitale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médicale pour une urgence vitale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Prioritaire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médicale urgente et prioritaire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Non Urgent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médicale non urgente (valeur attribuée par défaut)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Différé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Régulation médicale différée 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NR</w:t>
            </w:r>
          </w:p>
        </w:tc>
        <w:tc>
          <w:tcPr>
            <w:tcW w:type="dxa" w:w="1440"/>
          </w:tcPr>
          <w:p>
            <w:r>
              <w:t>Non régulé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