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resourcesInfoCisu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resource</w:t>
            </w:r>
          </w:p>
        </w:tc>
        <w:tc>
          <w:tcPr>
            <w:tcW w:type="dxa" w:w="1984"/>
          </w:tcPr>
          <w:p>
            <w:r>
              <w:t>Ressource</w:t>
            </w:r>
          </w:p>
        </w:tc>
        <w:tc>
          <w:tcPr>
            <w:tcW w:type="dxa" w:w="1134"/>
          </w:tcPr>
          <w:p>
            <w:r>
              <w:t>cf. type resource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permettant de communquer la liste des ressource et vecteurs mobilisés en 15-15 et 15-SMUR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resource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déclenchement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la ressource/du vecteur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^([a-zA-Z0-9_-]+\.){3,8}resource(\.[a-zA-Z0-9_-]+){1,2}$)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engagée, normé comme suit :</w:t>
              <w:br/>
              <w:t>{orgID}.resource.{ID unique de la ressource partagée}</w:t>
              <w:br/>
              <w:t>OU - uniquement dans le cas où un ID unique de ressource ne peut pas être garanti par l'organisation propriétaire :</w:t>
              <w:br/>
              <w:t>{orgID}.resource.{sendercaseId}.{n° d’ordre chronologique de la ressource}</w:t>
            </w:r>
          </w:p>
        </w:tc>
        <w:tc>
          <w:tcPr>
            <w:tcW w:type="dxa" w:w="1701"/>
          </w:tcPr>
          <w:p>
            <w:r>
              <w:t>fr.health.samu770.resource.VLM250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requestId</w:t>
            </w:r>
          </w:p>
        </w:tc>
        <w:tc>
          <w:tcPr>
            <w:tcW w:type="dxa" w:w="1984"/>
          </w:tcPr>
          <w:p>
            <w:r>
              <w:t>ID Demande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^([a-zA-Z0-9_-]+\.){3,8}request(\.[a-zA-Z0-9_-]+){1,2}$)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l'identifiant unique partagé de la demande de ressource (si la ressource a été engagée suite à une demande de ressource), normé comme suit :</w:t>
              <w:br/>
              <w:t>{orgID}.request.{ID unique de la demande dans le système émetteur}</w:t>
              <w:br/>
              <w:t xml:space="preserve">OU - si un ID unique de la demande n'était pas disponible : </w:t>
              <w:br/>
              <w:t>{OrgId émetteur}.request.{senderCaseId}.{numéro d’ordre chronologique}</w:t>
            </w:r>
          </w:p>
        </w:tc>
        <w:tc>
          <w:tcPr>
            <w:tcW w:type="dxa" w:w="1701"/>
          </w:tcPr>
          <w:p>
            <w:r>
              <w:t>fr.health.samu770.request.1249875</w:t>
              <w:br/>
              <w:t>fr.health.samu690.request.DRFR15690242370035.3</w:t>
            </w:r>
          </w:p>
        </w:tc>
      </w:tr>
      <w:tr>
        <w:tc>
          <w:tcPr>
            <w:tcW w:type="dxa" w:w="1701"/>
          </w:tcPr>
          <w:p>
            <w:r>
              <w:t>missionId</w:t>
            </w:r>
          </w:p>
        </w:tc>
        <w:tc>
          <w:tcPr>
            <w:tcW w:type="dxa" w:w="1984"/>
          </w:tcPr>
          <w:p>
            <w:r>
              <w:t>ID Mission local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mission unique du central d’appel (PSAP, …) qui a déclenché le vecteur</w:t>
            </w:r>
          </w:p>
        </w:tc>
        <w:tc>
          <w:tcPr>
            <w:tcW w:type="dxa" w:w="1701"/>
          </w:tcPr>
          <w:p>
            <w:r>
              <w:t>DRFR15DDXAAJJJ0000.M001</w:t>
            </w:r>
          </w:p>
        </w:tc>
      </w:tr>
      <w:tr>
        <w:tc>
          <w:tcPr>
            <w:tcW w:type="dxa" w:w="1701"/>
          </w:tcPr>
          <w:p>
            <w:r>
              <w:t>orgId</w:t>
            </w:r>
          </w:p>
        </w:tc>
        <w:tc>
          <w:tcPr>
            <w:tcW w:type="dxa" w:w="1984"/>
          </w:tcPr>
          <w:p>
            <w:r>
              <w:t>ID Organisation propriétaire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l'identifiant de l'organisation à laquelle appartient la ressource, normé comme suit : </w:t>
              <w:br/>
              <w:t>{pays}.{domaine}.{organisation}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centerName</w:t>
            </w:r>
          </w:p>
        </w:tc>
        <w:tc>
          <w:tcPr>
            <w:tcW w:type="dxa" w:w="1984"/>
          </w:tcPr>
          <w:p>
            <w:r>
              <w:t>Nom du centre d’affectation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lieu de garage principal</w:t>
            </w:r>
          </w:p>
        </w:tc>
        <w:tc>
          <w:tcPr>
            <w:tcW w:type="dxa" w:w="1701"/>
          </w:tcPr>
          <w:p>
            <w:r>
              <w:t>CHU Nantes</w:t>
            </w:r>
          </w:p>
        </w:tc>
      </w:tr>
      <w:tr>
        <w:tc>
          <w:tcPr>
            <w:tcW w:type="dxa" w:w="1701"/>
          </w:tcPr>
          <w:p>
            <w:r>
              <w:t>vehicleType</w:t>
            </w:r>
          </w:p>
        </w:tc>
        <w:tc>
          <w:tcPr>
            <w:tcW w:type="dxa" w:w="1984"/>
          </w:tcPr>
          <w:p>
            <w:r>
              <w:t>Type de vecteur</w:t>
            </w:r>
          </w:p>
        </w:tc>
        <w:tc>
          <w:tcPr>
            <w:tcW w:type="dxa" w:w="1134"/>
          </w:tcPr>
          <w:p>
            <w:r>
              <w:t>string</w:t>
              <w:br/>
              <w:t>(ENUM: SMUR, SIS)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vecteur mobilisé : cf. nomenclature associée</w:t>
            </w:r>
          </w:p>
        </w:tc>
        <w:tc>
          <w:tcPr>
            <w:tcW w:type="dxa" w:w="1701"/>
          </w:tcPr>
          <w:p>
            <w:r>
              <w:t>SMUR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vecteur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donné à la ressource par l’organisation d’appartenance</w:t>
            </w:r>
          </w:p>
        </w:tc>
        <w:tc>
          <w:tcPr>
            <w:tcW w:type="dxa" w:w="1701"/>
          </w:tcPr>
          <w:p>
            <w:r>
              <w:t>SMUR 123</w:t>
            </w:r>
          </w:p>
        </w:tc>
      </w:tr>
      <w:tr>
        <w:tc>
          <w:tcPr>
            <w:tcW w:type="dxa" w:w="1701"/>
          </w:tcPr>
          <w:p>
            <w:r>
              <w:t>centerCity</w:t>
            </w:r>
          </w:p>
        </w:tc>
        <w:tc>
          <w:tcPr>
            <w:tcW w:type="dxa" w:w="1984"/>
          </w:tcPr>
          <w:p>
            <w:r>
              <w:t>Commune du centre d’affectation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code INSEE de la commune du centre d'affectation</w:t>
            </w:r>
          </w:p>
        </w:tc>
        <w:tc>
          <w:tcPr>
            <w:tcW w:type="dxa" w:w="1701"/>
          </w:tcPr>
          <w:p>
            <w:r>
              <w:t>44109</w:t>
            </w:r>
          </w:p>
        </w:tc>
      </w:tr>
      <w:tr>
        <w:tc>
          <w:tcPr>
            <w:tcW w:type="dxa" w:w="1701"/>
          </w:tcPr>
          <w:p>
            <w:r>
              <w:t>team</w:t>
            </w:r>
          </w:p>
        </w:tc>
        <w:tc>
          <w:tcPr>
            <w:tcW w:type="dxa" w:w="1984"/>
          </w:tcPr>
          <w:p>
            <w:r>
              <w:t>Equipe vecteur</w:t>
            </w:r>
          </w:p>
        </w:tc>
        <w:tc>
          <w:tcPr>
            <w:tcW w:type="dxa" w:w="1134"/>
          </w:tcPr>
          <w:p>
            <w:r>
              <w:t>cf. type team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décrit l'équipe à bord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state</w:t>
            </w:r>
          </w:p>
        </w:tc>
        <w:tc>
          <w:tcPr>
            <w:tcW w:type="dxa" w:w="1984"/>
          </w:tcPr>
          <w:p>
            <w:r>
              <w:t>Etat vecteur</w:t>
            </w:r>
          </w:p>
        </w:tc>
        <w:tc>
          <w:tcPr>
            <w:tcW w:type="dxa" w:w="1134"/>
          </w:tcPr>
          <w:p>
            <w:r>
              <w:t>cf. type state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l'état d'un vecteur mobilisé - sous forme de liste, il permet de décrire l'historique des états connus d'un même vecteur.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 type et la valeur de l'URI utilisée par un contact, ici spécifiquement le contact du vecteur mobilisé.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Texte libre permettant de passer toute autre information sur la ressource (équipements supplémentaires / spécifiques, particularités du vecteur, etc.)</w:t>
            </w:r>
          </w:p>
        </w:tc>
        <w:tc>
          <w:tcPr>
            <w:tcW w:type="dxa" w:w="1701"/>
          </w:tcPr>
          <w:p>
            <w:r>
              <w:t>SMUR pédiatrique</w:t>
            </w:r>
          </w:p>
        </w:tc>
      </w:tr>
    </w:tbl>
    <w:p>
      <w:pPr>
        <w:pStyle w:val="Heading1"/>
      </w:pPr>
      <w:r>
        <w:t>team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medicalLevel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HubSante.typePEC)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 niveau de médicalisation du vecteur. Cf. nomenclature associée</w:t>
            </w:r>
          </w:p>
        </w:tc>
        <w:tc>
          <w:tcPr>
            <w:tcW w:type="dxa" w:w="1701"/>
          </w:tcPr>
          <w:p>
            <w:r>
              <w:t>MED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l'équipe à bord du vecteur (celui communiqué par l'organisation à laquelle l'équipe appartient)</w:t>
            </w:r>
          </w:p>
        </w:tc>
        <w:tc>
          <w:tcPr>
            <w:tcW w:type="dxa" w:w="1701"/>
          </w:tcPr>
          <w:p>
            <w:r>
              <w:t>Equipe A</w:t>
            </w:r>
          </w:p>
        </w:tc>
      </w:tr>
    </w:tbl>
    <w:p>
      <w:pPr>
        <w:pStyle w:val="Heading1"/>
      </w:pPr>
      <w:r>
        <w:t>state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changement de statut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changement vers le nouveau statut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HubSante.statutVecteur)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statut du vecteur. Cf nomenclature associée.</w:t>
            </w:r>
          </w:p>
        </w:tc>
        <w:tc>
          <w:tcPr>
            <w:tcW w:type="dxa" w:w="1701"/>
          </w:tcPr>
          <w:p>
            <w:r>
              <w:t>ARRIVE</w:t>
            </w:r>
          </w:p>
        </w:tc>
      </w:tr>
      <w:tr>
        <w:tc>
          <w:tcPr>
            <w:tcW w:type="dxa" w:w="1701"/>
          </w:tcPr>
          <w:p>
            <w:r>
              <w:t>availability</w:t>
            </w:r>
          </w:p>
        </w:tc>
        <w:tc>
          <w:tcPr>
            <w:tcW w:type="dxa" w:w="1984"/>
          </w:tcPr>
          <w:p>
            <w:r>
              <w:t>Disponibilité du vecteur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de manière à indiquer la disponibilité du vecteur.</w:t>
              <w:br/>
              <w:t>TRUE = DISPONIBLE</w:t>
              <w:br/>
              <w:t>FALSE = INDISPONIBLE</w:t>
              <w:br/>
              <w:t>VIDE = INCONNU</w:t>
            </w:r>
          </w:p>
        </w:tc>
        <w:tc>
          <w:tcPr>
            <w:tcW w:type="dxa" w:w="1701"/>
          </w:tcPr>
          <w:p>
            <w:r>
              <w:t>FALSE</w:t>
            </w:r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de contact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l'URI utilisée. Cf nomenclature associée.</w:t>
            </w:r>
          </w:p>
        </w:tc>
        <w:tc>
          <w:tcPr>
            <w:tcW w:type="dxa" w:w="1701"/>
          </w:tcPr>
          <w:p>
            <w:r>
              <w:t>PHNADD</w:t>
            </w:r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valeur de l'URI utilisée</w:t>
              <w:br/>
              <w:t>Le format attendu pour un numéro de téléphone est le suivant : +{indicatif pays}{numéro de téléphone}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