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br/>
              <w:t>(NOMENCLATURE : CISU Nature de fait)</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Allemagne, Espagne, Italie, Suisse, Luxembourg, Belgique)</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SAMU050-20230605-AL0123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(Voir nomenclature associée)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 (voir Nomenclature CISU XX))</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 (voir Nomenclature CISU XX))</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A VENIR Plus de détails et exemple</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(NOMENCLATURE: EMSI - CONTEXT EXTERNAL_INFO TYPE)</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en mètre,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 LANGUE du SI-SAMU)</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freetext</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du champ "organization"</w:t>
            </w:r>
          </w:p>
        </w:tc>
        <w:tc>
          <w:tcPr>
            <w:tcW w:type="dxa" w:w="1701"/>
          </w:tcPr>
          <w:p>
            <w:r>
              <w:t>samu44:chuNantes:crra:regulationN3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w:t>
            </w:r>
          </w:p>
        </w:tc>
        <w:tc>
          <w:tcPr>
            <w:tcW w:type="dxa" w:w="1701"/>
          </w:tcPr>
          <w:p>
            <w:r>
              <w:t>id1234, carte CPx (Santé), id d'affectation, …</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A VALIDER : 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