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80"/>
        <w:jc w:val="center"/>
      </w:pPr>
      <w:r>
        <w:rPr>
          <w:rFonts w:ascii="Cambria" w:cs="Cambria" w:eastAsia="Cambria" w:hAnsi="Cambria"/>
          <w:b/>
          <w:bCs/>
          <w:color w:val="1F4023"/>
          <w:sz w:val="32"/>
          <w:szCs w:val="32"/>
        </w:rPr>
        <w:t xml:space="preserve">B.TECH CSE (III YEAR – V SEM) (2025-26)</w:t>
      </w:r>
    </w:p>
    <w:p>
      <w:pPr>
        <w:spacing w:after="320"/>
        <w:jc w:val="center"/>
      </w:pPr>
      <w:r>
        <w:rPr>
          <w:rFonts w:ascii="Calibri" w:cs="Calibri" w:eastAsia="Calibri" w:hAnsi="Calibri"/>
          <w:color w:val="222222"/>
          <w:sz w:val="22"/>
          <w:szCs w:val="22"/>
        </w:rPr>
        <w:t xml:space="preserve">DEPARTMENT OF COMPUTER SCIENCE ENGINEERING &amp; APPLICATIONS</w:t>
      </w:r>
    </w:p>
    <w:p>
      <w:pPr>
        <w:spacing w:after="40"/>
        <w:jc w:val="center"/>
      </w:pPr>
      <w:r>
        <w:rPr>
          <w:rFonts w:ascii="Cambria" w:cs="Cambria" w:eastAsia="Cambria" w:hAnsi="Cambria"/>
          <w:b/>
          <w:bCs/>
          <w:color w:val="1F4023"/>
          <w:sz w:val="40"/>
          <w:szCs w:val="40"/>
        </w:rPr>
        <w:t xml:space="preserve">GLA UNIVERSITY</w:t>
      </w:r>
    </w:p>
    <w:p>
      <w:pPr>
        <w:spacing w:after="4"/>
        <w:jc w:val="center"/>
      </w:pPr>
      <w:r>
        <w:rPr>
          <w:rFonts w:ascii="Calibri" w:cs="Calibri" w:eastAsia="Calibri" w:hAnsi="Calibri"/>
          <w:color w:val="555555"/>
          <w:sz w:val="20"/>
          <w:szCs w:val="20"/>
        </w:rPr>
        <w:t xml:space="preserve">17km Stone, NH-2, Mathura-Delhi Road, P.O. Chaumuhan, Mathura – 281406</w:t>
      </w:r>
    </w:p>
    <w:p>
      <w:pPr>
        <w:spacing w:after="340"/>
        <w:jc w:val="center"/>
      </w:pPr>
      <w:r>
        <w:rPr>
          <w:rFonts w:ascii="Calibri" w:cs="Calibri" w:eastAsia="Calibri" w:hAnsi="Calibri"/>
          <w:color w:val="555555"/>
          <w:sz w:val="20"/>
          <w:szCs w:val="20"/>
        </w:rPr>
        <w:t xml:space="preserve">(Uttar Pradesh) India</w:t>
      </w:r>
    </w:p>
    <w:p>
      <w:pPr>
        <w:pBdr>
          <w:top w:val="single" w:color="1F4023" w:sz="8" w:space="8"/>
          <w:bottom w:val="single" w:color="1F4023" w:sz="8" w:space="8"/>
        </w:pBdr>
        <w:spacing w:after="200"/>
        <w:jc w:val="center"/>
      </w:pPr>
      <w:r>
        <w:rPr>
          <w:rFonts w:ascii="Cambria" w:cs="Cambria" w:eastAsia="Cambria" w:hAnsi="Cambria"/>
          <w:b/>
          <w:bCs/>
          <w:color w:val="2F6B34"/>
          <w:sz w:val="30"/>
          <w:szCs w:val="30"/>
        </w:rPr>
        <w:t xml:space="preserve">PROJECT SYNOPSIS</w:t>
      </w:r>
    </w:p>
    <w:p>
      <w:pPr>
        <w:spacing w:after="500" w:before="200"/>
        <w:jc w:val="center"/>
      </w:pPr>
      <w:r>
        <w:rPr>
          <w:rFonts w:ascii="Cambria" w:cs="Cambria" w:eastAsia="Cambria" w:hAnsi="Cambria"/>
          <w:b/>
          <w:bCs/>
          <w:color w:val="222222"/>
          <w:sz w:val="30"/>
          <w:szCs w:val="30"/>
        </w:rPr>
        <w:t xml:space="preserve">IoT Smart Cold Chain Temperature &amp; Spoilage Monitor</w:t>
      </w:r>
    </w:p>
    <w:p>
      <w:pPr>
        <w:tabs>
          <w:tab w:val="left" w:pos="2600"/>
        </w:tabs>
        <w:spacing w:after="140"/>
        <w:jc w:val="left"/>
      </w:pPr>
      <w:r>
        <w:rPr>
          <w:rFonts w:ascii="Calibri" w:cs="Calibri" w:eastAsia="Calibri" w:hAnsi="Calibri"/>
          <w:b/>
          <w:bCs/>
          <w:color w:val="1F4023"/>
          <w:sz w:val="22"/>
          <w:szCs w:val="22"/>
        </w:rPr>
        <w:t xml:space="preserve">Team Leader:</w:t>
      </w:r>
      <w:r>
        <w:rPr>
          <w:rFonts w:ascii="Calibri" w:cs="Calibri" w:eastAsia="Calibri" w:hAnsi="Calibri"/>
          <w:color w:val="222222"/>
          <w:sz w:val="22"/>
          <w:szCs w:val="22"/>
        </w:rPr>
        <w:t xml:space="preserve">	Ansh Yadav   (UR: 2415500079)</w:t>
      </w:r>
    </w:p>
    <w:p>
      <w:pPr>
        <w:tabs>
          <w:tab w:val="left" w:pos="2600"/>
        </w:tabs>
        <w:spacing w:after="140"/>
        <w:jc w:val="left"/>
      </w:pPr>
      <w:r>
        <w:rPr>
          <w:rFonts w:ascii="Calibri" w:cs="Calibri" w:eastAsia="Calibri" w:hAnsi="Calibri"/>
          <w:b/>
          <w:bCs/>
          <w:color w:val="1F4023"/>
          <w:sz w:val="22"/>
          <w:szCs w:val="22"/>
        </w:rPr>
        <w:t xml:space="preserve">Team Member 1:</w:t>
      </w:r>
      <w:r>
        <w:rPr>
          <w:rFonts w:ascii="Calibri" w:cs="Calibri" w:eastAsia="Calibri" w:hAnsi="Calibri"/>
          <w:color w:val="222222"/>
          <w:sz w:val="22"/>
          <w:szCs w:val="22"/>
        </w:rPr>
        <w:t xml:space="preserve">	Piyush Singh Tomar   (UR: 2415500338)</w:t>
      </w:r>
    </w:p>
    <w:p>
      <w:pPr>
        <w:tabs>
          <w:tab w:val="left" w:pos="2600"/>
        </w:tabs>
        <w:spacing w:after="140"/>
        <w:jc w:val="left"/>
      </w:pPr>
      <w:r>
        <w:rPr>
          <w:rFonts w:ascii="Calibri" w:cs="Calibri" w:eastAsia="Calibri" w:hAnsi="Calibri"/>
          <w:b/>
          <w:bCs/>
          <w:color w:val="1F4023"/>
          <w:sz w:val="22"/>
          <w:szCs w:val="22"/>
        </w:rPr>
        <w:t xml:space="preserve">Team Member 2:</w:t>
      </w:r>
      <w:r>
        <w:rPr>
          <w:rFonts w:ascii="Calibri" w:cs="Calibri" w:eastAsia="Calibri" w:hAnsi="Calibri"/>
          <w:color w:val="222222"/>
          <w:sz w:val="22"/>
          <w:szCs w:val="22"/>
        </w:rPr>
        <w:t xml:space="preserve">	Charu Khandelwal   (UR: 2415500136)</w:t>
      </w:r>
    </w:p>
    <w:p>
      <w:pPr>
        <w:spacing w:after="200"/>
      </w:pPr>
    </w:p>
    <w:p>
      <w:pPr>
        <w:tabs>
          <w:tab w:val="left" w:pos="2600"/>
        </w:tabs>
        <w:spacing w:after="140"/>
        <w:jc w:val="left"/>
      </w:pPr>
      <w:r>
        <w:rPr>
          <w:rFonts w:ascii="Calibri" w:cs="Calibri" w:eastAsia="Calibri" w:hAnsi="Calibri"/>
          <w:b/>
          <w:bCs/>
          <w:color w:val="1F4023"/>
          <w:sz w:val="22"/>
          <w:szCs w:val="22"/>
        </w:rPr>
        <w:t xml:space="preserve">Mentor Name:</w:t>
      </w:r>
      <w:r>
        <w:rPr>
          <w:rFonts w:ascii="Calibri" w:cs="Calibri" w:eastAsia="Calibri" w:hAnsi="Calibri"/>
          <w:color w:val="222222"/>
          <w:sz w:val="22"/>
          <w:szCs w:val="22"/>
        </w:rPr>
        <w:t xml:space="preserve">	Prof. Yunis Ahmed Lone</w:t>
      </w:r>
    </w:p>
    <w:p>
      <w:pPr>
        <w:tabs>
          <w:tab w:val="left" w:pos="2600"/>
        </w:tabs>
        <w:spacing w:after="140"/>
        <w:jc w:val="left"/>
      </w:pPr>
      <w:r>
        <w:rPr>
          <w:rFonts w:ascii="Calibri" w:cs="Calibri" w:eastAsia="Calibri" w:hAnsi="Calibri"/>
          <w:b/>
          <w:bCs/>
          <w:color w:val="1F4023"/>
          <w:sz w:val="22"/>
          <w:szCs w:val="22"/>
        </w:rPr>
        <w:t xml:space="preserve">Signature:</w:t>
      </w:r>
      <w:r>
        <w:rPr>
          <w:rFonts w:ascii="Calibri" w:cs="Calibri" w:eastAsia="Calibri" w:hAnsi="Calibri"/>
          <w:color w:val="222222"/>
          <w:sz w:val="22"/>
          <w:szCs w:val="22"/>
        </w:rPr>
        <w:t xml:space="preserve">	_______________________</w:t>
      </w:r>
    </w:p>
    <w:p>
      <w:pPr>
        <w:spacing w:after="600"/>
      </w:pPr>
    </w:p>
    <w:p>
      <w:pPr>
        <w:jc w:val="center"/>
      </w:pPr>
      <w:r>
        <w:rPr>
          <w:rFonts w:ascii="Calibri" w:cs="Calibri" w:eastAsia="Calibri" w:hAnsi="Calibri"/>
          <w:i/>
          <w:iCs/>
          <w:color w:val="555555"/>
          <w:sz w:val="19"/>
          <w:szCs w:val="19"/>
        </w:rPr>
        <w:t xml:space="preserve">Team 35  |  Mini-Project  |  Version v1.0  |  Date: 02 Sep 2026</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0. Project Synopsis Cover</w:t>
      </w:r>
    </w:p>
    <w:p>
      <w:pPr>
        <w:spacing w:after="40"/>
        <w:jc w:val="center"/>
      </w:pPr>
      <w:r>
        <w:rPr>
          <w:rFonts w:ascii="Cambria" w:cs="Cambria" w:eastAsia="Cambria" w:hAnsi="Cambria"/>
          <w:b/>
          <w:bCs/>
          <w:color w:val="1F4023"/>
          <w:sz w:val="26"/>
          <w:szCs w:val="26"/>
        </w:rPr>
        <w:t xml:space="preserve">Project Synopsis</w:t>
      </w:r>
    </w:p>
    <w:p>
      <w:pPr>
        <w:spacing w:after="260"/>
        <w:jc w:val="center"/>
      </w:pPr>
      <w:r>
        <w:rPr>
          <w:rFonts w:ascii="Cambria" w:cs="Cambria" w:eastAsia="Cambria" w:hAnsi="Cambria"/>
          <w:b/>
          <w:bCs/>
          <w:color w:val="222222"/>
          <w:sz w:val="24"/>
          <w:szCs w:val="24"/>
        </w:rPr>
        <w:t xml:space="preserve">IoT Smart Cold Chain Temperature &amp; Spoilage Monitor</w:t>
      </w:r>
    </w:p>
    <w:p>
      <w:pPr>
        <w:pStyle w:val="ListParagraph"/>
        <w:numPr>
          <w:ilvl w:val="0"/>
          <w:numId w:val="2"/>
        </w:numPr>
        <w:spacing w:after="100" w:line="276"/>
        <w:jc w:val="both"/>
      </w:pPr>
      <w:r>
        <w:rPr>
          <w:rFonts w:ascii="Calibri" w:cs="Calibri" w:eastAsia="Calibri" w:hAnsi="Calibri"/>
          <w:color w:val="222222"/>
          <w:sz w:val="22"/>
          <w:szCs w:val="22"/>
        </w:rPr>
        <w:t xml:space="preserve">Project title: IoT Smart Cold Chain Temperature &amp; Spoilage Monitor</w:t>
      </w:r>
    </w:p>
    <w:p>
      <w:pPr>
        <w:pStyle w:val="ListParagraph"/>
        <w:numPr>
          <w:ilvl w:val="0"/>
          <w:numId w:val="2"/>
        </w:numPr>
        <w:spacing w:after="100" w:line="276"/>
        <w:jc w:val="both"/>
      </w:pPr>
      <w:r>
        <w:rPr>
          <w:rFonts w:ascii="Calibri" w:cs="Calibri" w:eastAsia="Calibri" w:hAnsi="Calibri"/>
          <w:color w:val="222222"/>
          <w:sz w:val="22"/>
          <w:szCs w:val="22"/>
        </w:rPr>
        <w:t xml:space="preserve">Team name &amp; ID: Team 35</w:t>
      </w:r>
    </w:p>
    <w:p>
      <w:pPr>
        <w:pStyle w:val="ListParagraph"/>
        <w:numPr>
          <w:ilvl w:val="0"/>
          <w:numId w:val="2"/>
        </w:numPr>
        <w:spacing w:after="100" w:line="276"/>
        <w:jc w:val="both"/>
      </w:pPr>
      <w:r>
        <w:rPr>
          <w:rFonts w:ascii="Calibri" w:cs="Calibri" w:eastAsia="Calibri" w:hAnsi="Calibri"/>
          <w:color w:val="222222"/>
          <w:sz w:val="22"/>
          <w:szCs w:val="22"/>
        </w:rPr>
        <w:t xml:space="preserve">Institute / Course: GLA University, Mathura – B.Tech CSE, Mini-Project</w:t>
      </w:r>
    </w:p>
    <w:p>
      <w:pPr>
        <w:pStyle w:val="ListParagraph"/>
        <w:numPr>
          <w:ilvl w:val="0"/>
          <w:numId w:val="2"/>
        </w:numPr>
        <w:spacing w:after="100" w:line="276"/>
        <w:jc w:val="both"/>
      </w:pPr>
      <w:r>
        <w:rPr>
          <w:rFonts w:ascii="Calibri" w:cs="Calibri" w:eastAsia="Calibri" w:hAnsi="Calibri"/>
          <w:color w:val="222222"/>
          <w:sz w:val="22"/>
          <w:szCs w:val="22"/>
        </w:rPr>
        <w:t xml:space="preserve">Version: v1.0</w:t>
      </w:r>
    </w:p>
    <w:p>
      <w:pPr>
        <w:pStyle w:val="ListParagraph"/>
        <w:numPr>
          <w:ilvl w:val="0"/>
          <w:numId w:val="2"/>
        </w:numPr>
        <w:spacing w:after="100" w:line="276"/>
        <w:jc w:val="both"/>
      </w:pPr>
      <w:r>
        <w:rPr>
          <w:rFonts w:ascii="Calibri" w:cs="Calibri" w:eastAsia="Calibri" w:hAnsi="Calibri"/>
          <w:color w:val="222222"/>
          <w:sz w:val="22"/>
          <w:szCs w:val="22"/>
        </w:rPr>
        <w:t xml:space="preserve">Date: 02 Sep 2026</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 Overview</w:t>
      </w:r>
    </w:p>
    <w:p>
      <w:pPr>
        <w:pStyle w:val="Heading2"/>
        <w:spacing w:after="150" w:before="300"/>
      </w:pPr>
      <w:r>
        <w:rPr>
          <w:rFonts w:ascii="Cambria" w:cs="Cambria" w:eastAsia="Cambria" w:hAnsi="Cambria"/>
          <w:b/>
          <w:bCs/>
          <w:color w:val="2F6B34"/>
          <w:sz w:val="25"/>
          <w:szCs w:val="25"/>
        </w:rPr>
        <w:t xml:space="preserve">Problem Statement</w:t>
      </w:r>
    </w:p>
    <w:p>
      <w:pPr>
        <w:spacing w:after="160" w:line="288"/>
        <w:jc w:val="both"/>
      </w:pPr>
      <w:r>
        <w:rPr>
          <w:rFonts w:ascii="Calibri" w:cs="Calibri" w:eastAsia="Calibri" w:hAnsi="Calibri"/>
          <w:color w:val="222222"/>
          <w:sz w:val="22"/>
          <w:szCs w:val="22"/>
        </w:rPr>
        <w:t xml:space="preserve">Perishable goods such as dairy, pharmaceuticals, and fresh produce require continuous temperature and humidity control while in transit. Refrigeration breakdowns and unmonitored transit delays lead to significant financial loss and public health risk, and most existing cold-chain monitoring solutions are either too expensive for small operators or only provide a historical log that is reviewed after the goods have already spoiled.</w:t>
      </w:r>
    </w:p>
    <w:p>
      <w:pPr>
        <w:pStyle w:val="Heading2"/>
        <w:spacing w:after="150" w:before="300"/>
      </w:pPr>
      <w:r>
        <w:rPr>
          <w:rFonts w:ascii="Cambria" w:cs="Cambria" w:eastAsia="Cambria" w:hAnsi="Cambria"/>
          <w:b/>
          <w:bCs/>
          <w:color w:val="2F6B34"/>
          <w:sz w:val="25"/>
          <w:szCs w:val="25"/>
        </w:rPr>
        <w:t xml:space="preserve">Goal</w:t>
      </w:r>
    </w:p>
    <w:p>
      <w:pPr>
        <w:spacing w:after="160" w:line="288"/>
        <w:jc w:val="both"/>
      </w:pPr>
      <w:r>
        <w:rPr>
          <w:rFonts w:ascii="Calibri" w:cs="Calibri" w:eastAsia="Calibri" w:hAnsi="Calibri"/>
          <w:color w:val="222222"/>
          <w:sz w:val="22"/>
          <w:szCs w:val="22"/>
        </w:rPr>
        <w:t xml:space="preserve">Build a network of low-cost, battery-powered sensor nodes that continuously log temperature, humidity, and volatile organic compound (VOC) levels inside transport containers, compute a dynamic shelf-life decay estimate on the edge microcontroller using a simplified Arrhenius kinetic model, and transmit real-time environmental data and breach alerts to a cloud dashboard — enabling intervention before goods are damaged.</w:t>
      </w:r>
    </w:p>
    <w:p>
      <w:pPr>
        <w:pStyle w:val="Heading2"/>
        <w:spacing w:after="150" w:before="300"/>
      </w:pPr>
      <w:r>
        <w:rPr>
          <w:rFonts w:ascii="Cambria" w:cs="Cambria" w:eastAsia="Cambria" w:hAnsi="Cambria"/>
          <w:b/>
          <w:bCs/>
          <w:color w:val="2F6B34"/>
          <w:sz w:val="25"/>
          <w:szCs w:val="25"/>
        </w:rPr>
        <w:t xml:space="preserve">Non-goals</w:t>
      </w:r>
    </w:p>
    <w:p>
      <w:pPr>
        <w:spacing w:after="160" w:line="288"/>
        <w:jc w:val="both"/>
      </w:pPr>
      <w:r>
        <w:rPr>
          <w:rFonts w:ascii="Calibri" w:cs="Calibri" w:eastAsia="Calibri" w:hAnsi="Calibri"/>
          <w:color w:val="222222"/>
          <w:sz w:val="22"/>
          <w:szCs w:val="22"/>
        </w:rPr>
        <w:t xml:space="preserve">Autonomous refrigeration control, fleet-wide commercial dashboard integration, custom PCB fabrication, and regulatory (FSSAI/HACCP) certification are out of scope for v1.</w:t>
      </w:r>
    </w:p>
    <w:p>
      <w:pPr>
        <w:pStyle w:val="Heading2"/>
        <w:spacing w:after="150" w:before="300"/>
      </w:pPr>
      <w:r>
        <w:rPr>
          <w:rFonts w:ascii="Cambria" w:cs="Cambria" w:eastAsia="Cambria" w:hAnsi="Cambria"/>
          <w:b/>
          <w:bCs/>
          <w:color w:val="2F6B34"/>
          <w:sz w:val="25"/>
          <w:szCs w:val="25"/>
        </w:rPr>
        <w:t xml:space="preserve">Value Proposition</w:t>
      </w:r>
    </w:p>
    <w:p>
      <w:pPr>
        <w:spacing w:after="160" w:line="288"/>
        <w:jc w:val="both"/>
      </w:pPr>
      <w:r>
        <w:rPr>
          <w:rFonts w:ascii="Calibri" w:cs="Calibri" w:eastAsia="Calibri" w:hAnsi="Calibri"/>
          <w:color w:val="222222"/>
          <w:sz w:val="22"/>
          <w:szCs w:val="22"/>
        </w:rPr>
        <w:t xml:space="preserve">An affordable, battery-powered environmental monitoring node that predicts spoilage risk before goods arrive damaged, with resilient offline data buffering and an automated compliance report — replacing expensive, closed-platform industrial trackers with a low-cost, student-buildable alternative.</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2. Scope and Control</w:t>
      </w:r>
    </w:p>
    <w:p>
      <w:pPr>
        <w:pStyle w:val="Heading2"/>
        <w:spacing w:after="150" w:before="300"/>
      </w:pPr>
      <w:r>
        <w:rPr>
          <w:rFonts w:ascii="Cambria" w:cs="Cambria" w:eastAsia="Cambria" w:hAnsi="Cambria"/>
          <w:b/>
          <w:bCs/>
          <w:color w:val="2F6B34"/>
          <w:sz w:val="25"/>
          <w:szCs w:val="25"/>
        </w:rPr>
        <w:t xml:space="preserve">2.1  In-scope</w:t>
      </w:r>
    </w:p>
    <w:p>
      <w:pPr>
        <w:pStyle w:val="ListParagraph"/>
        <w:numPr>
          <w:ilvl w:val="0"/>
          <w:numId w:val="2"/>
        </w:numPr>
        <w:spacing w:after="100" w:line="276"/>
        <w:jc w:val="both"/>
      </w:pPr>
      <w:r>
        <w:rPr>
          <w:rFonts w:ascii="Calibri" w:cs="Calibri" w:eastAsia="Calibri" w:hAnsi="Calibri"/>
          <w:color w:val="222222"/>
          <w:sz w:val="22"/>
          <w:szCs w:val="22"/>
        </w:rPr>
        <w:t xml:space="preserve">Sensor node hardware assembly and calibration</w:t>
      </w:r>
    </w:p>
    <w:p>
      <w:pPr>
        <w:pStyle w:val="ListParagraph"/>
        <w:numPr>
          <w:ilvl w:val="0"/>
          <w:numId w:val="2"/>
        </w:numPr>
        <w:spacing w:after="100" w:line="276"/>
        <w:jc w:val="both"/>
      </w:pPr>
      <w:r>
        <w:rPr>
          <w:rFonts w:ascii="Calibri" w:cs="Calibri" w:eastAsia="Calibri" w:hAnsi="Calibri"/>
          <w:color w:val="222222"/>
          <w:sz w:val="22"/>
          <w:szCs w:val="22"/>
        </w:rPr>
        <w:t xml:space="preserve">Firmware for continuous data logging and low-power sleep operation</w:t>
      </w:r>
    </w:p>
    <w:p>
      <w:pPr>
        <w:pStyle w:val="ListParagraph"/>
        <w:numPr>
          <w:ilvl w:val="0"/>
          <w:numId w:val="2"/>
        </w:numPr>
        <w:spacing w:after="100" w:line="276"/>
        <w:jc w:val="both"/>
      </w:pPr>
      <w:r>
        <w:rPr>
          <w:rFonts w:ascii="Calibri" w:cs="Calibri" w:eastAsia="Calibri" w:hAnsi="Calibri"/>
          <w:color w:val="222222"/>
          <w:sz w:val="22"/>
          <w:szCs w:val="22"/>
        </w:rPr>
        <w:t xml:space="preserve">Local data buffering (SD card / EEPROM) during network interruptions</w:t>
      </w:r>
    </w:p>
    <w:p>
      <w:pPr>
        <w:pStyle w:val="ListParagraph"/>
        <w:numPr>
          <w:ilvl w:val="0"/>
          <w:numId w:val="2"/>
        </w:numPr>
        <w:spacing w:after="100" w:line="276"/>
        <w:jc w:val="both"/>
      </w:pPr>
      <w:r>
        <w:rPr>
          <w:rFonts w:ascii="Calibri" w:cs="Calibri" w:eastAsia="Calibri" w:hAnsi="Calibri"/>
          <w:color w:val="222222"/>
          <w:sz w:val="22"/>
          <w:szCs w:val="22"/>
        </w:rPr>
        <w:t xml:space="preserve">Real-time transmission of readings to a cloud dashboard over WiFi</w:t>
      </w:r>
    </w:p>
    <w:p>
      <w:pPr>
        <w:pStyle w:val="ListParagraph"/>
        <w:numPr>
          <w:ilvl w:val="0"/>
          <w:numId w:val="2"/>
        </w:numPr>
        <w:spacing w:after="100" w:line="276"/>
        <w:jc w:val="both"/>
      </w:pPr>
      <w:r>
        <w:rPr>
          <w:rFonts w:ascii="Calibri" w:cs="Calibri" w:eastAsia="Calibri" w:hAnsi="Calibri"/>
          <w:color w:val="222222"/>
          <w:sz w:val="22"/>
          <w:szCs w:val="22"/>
        </w:rPr>
        <w:t xml:space="preserve">Edge computation of shelf-life decay using a simplified Arrhenius kinetic model</w:t>
      </w:r>
    </w:p>
    <w:p>
      <w:pPr>
        <w:pStyle w:val="ListParagraph"/>
        <w:numPr>
          <w:ilvl w:val="0"/>
          <w:numId w:val="2"/>
        </w:numPr>
        <w:spacing w:after="100" w:line="276"/>
        <w:jc w:val="both"/>
      </w:pPr>
      <w:r>
        <w:rPr>
          <w:rFonts w:ascii="Calibri" w:cs="Calibri" w:eastAsia="Calibri" w:hAnsi="Calibri"/>
          <w:color w:val="222222"/>
          <w:sz w:val="22"/>
          <w:szCs w:val="22"/>
        </w:rPr>
        <w:t xml:space="preserve">Cloud dashboard showing live temperature and humidity graphs and alert configuration</w:t>
      </w:r>
    </w:p>
    <w:p>
      <w:pPr>
        <w:pStyle w:val="ListParagraph"/>
        <w:numPr>
          <w:ilvl w:val="0"/>
          <w:numId w:val="2"/>
        </w:numPr>
        <w:spacing w:after="100" w:line="276"/>
        <w:jc w:val="both"/>
      </w:pPr>
      <w:r>
        <w:rPr>
          <w:rFonts w:ascii="Calibri" w:cs="Calibri" w:eastAsia="Calibri" w:hAnsi="Calibri"/>
          <w:color w:val="222222"/>
          <w:sz w:val="22"/>
          <w:szCs w:val="22"/>
        </w:rPr>
        <w:t xml:space="preserve">Automated chain-of-custody compliance report generation</w:t>
      </w:r>
    </w:p>
    <w:p>
      <w:pPr>
        <w:pStyle w:val="Heading2"/>
        <w:spacing w:after="150" w:before="300"/>
      </w:pPr>
      <w:r>
        <w:rPr>
          <w:rFonts w:ascii="Cambria" w:cs="Cambria" w:eastAsia="Cambria" w:hAnsi="Cambria"/>
          <w:b/>
          <w:bCs/>
          <w:color w:val="2F6B34"/>
          <w:sz w:val="25"/>
          <w:szCs w:val="25"/>
        </w:rPr>
        <w:t xml:space="preserve">2.2  Out-of-scope</w:t>
      </w:r>
    </w:p>
    <w:p>
      <w:pPr>
        <w:pStyle w:val="ListParagraph"/>
        <w:numPr>
          <w:ilvl w:val="0"/>
          <w:numId w:val="2"/>
        </w:numPr>
        <w:spacing w:after="100" w:line="276"/>
        <w:jc w:val="both"/>
      </w:pPr>
      <w:r>
        <w:rPr>
          <w:rFonts w:ascii="Calibri" w:cs="Calibri" w:eastAsia="Calibri" w:hAnsi="Calibri"/>
          <w:color w:val="222222"/>
          <w:sz w:val="22"/>
          <w:szCs w:val="22"/>
        </w:rPr>
        <w:t xml:space="preserve">Cellular (GSM) connectivity, SMS alerts, and LoRa-based transmission — planned as a future/production enhancement</w:t>
      </w:r>
    </w:p>
    <w:p>
      <w:pPr>
        <w:pStyle w:val="ListParagraph"/>
        <w:numPr>
          <w:ilvl w:val="0"/>
          <w:numId w:val="2"/>
        </w:numPr>
        <w:spacing w:after="100" w:line="276"/>
        <w:jc w:val="both"/>
      </w:pPr>
      <w:r>
        <w:rPr>
          <w:rFonts w:ascii="Calibri" w:cs="Calibri" w:eastAsia="Calibri" w:hAnsi="Calibri"/>
          <w:color w:val="222222"/>
          <w:sz w:val="22"/>
          <w:szCs w:val="22"/>
        </w:rPr>
        <w:t xml:space="preserve">Real-time GPS-based geolocation tracking</w:t>
      </w:r>
    </w:p>
    <w:p>
      <w:pPr>
        <w:pStyle w:val="ListParagraph"/>
        <w:numPr>
          <w:ilvl w:val="0"/>
          <w:numId w:val="2"/>
        </w:numPr>
        <w:spacing w:after="100" w:line="276"/>
        <w:jc w:val="both"/>
      </w:pPr>
      <w:r>
        <w:rPr>
          <w:rFonts w:ascii="Calibri" w:cs="Calibri" w:eastAsia="Calibri" w:hAnsi="Calibri"/>
          <w:color w:val="222222"/>
          <w:sz w:val="22"/>
          <w:szCs w:val="22"/>
        </w:rPr>
        <w:t xml:space="preserve">Multi-vehicle fleet management dashboard</w:t>
      </w:r>
    </w:p>
    <w:p>
      <w:pPr>
        <w:pStyle w:val="ListParagraph"/>
        <w:numPr>
          <w:ilvl w:val="0"/>
          <w:numId w:val="2"/>
        </w:numPr>
        <w:spacing w:after="100" w:line="276"/>
        <w:jc w:val="both"/>
      </w:pPr>
      <w:r>
        <w:rPr>
          <w:rFonts w:ascii="Calibri" w:cs="Calibri" w:eastAsia="Calibri" w:hAnsi="Calibri"/>
          <w:color w:val="222222"/>
          <w:sz w:val="22"/>
          <w:szCs w:val="22"/>
        </w:rPr>
        <w:t xml:space="preserve">Integration with third-party logistics or ERP platforms</w:t>
      </w:r>
    </w:p>
    <w:p>
      <w:pPr>
        <w:pStyle w:val="ListParagraph"/>
        <w:numPr>
          <w:ilvl w:val="0"/>
          <w:numId w:val="2"/>
        </w:numPr>
        <w:spacing w:after="100" w:line="276"/>
        <w:jc w:val="both"/>
      </w:pPr>
      <w:r>
        <w:rPr>
          <w:rFonts w:ascii="Calibri" w:cs="Calibri" w:eastAsia="Calibri" w:hAnsi="Calibri"/>
          <w:color w:val="222222"/>
          <w:sz w:val="22"/>
          <w:szCs w:val="22"/>
        </w:rPr>
        <w:t xml:space="preserve">Custom PCB design and fabrication</w:t>
      </w:r>
    </w:p>
    <w:p>
      <w:pPr>
        <w:pStyle w:val="Heading2"/>
        <w:spacing w:after="150" w:before="300"/>
      </w:pPr>
      <w:r>
        <w:rPr>
          <w:rFonts w:ascii="Cambria" w:cs="Cambria" w:eastAsia="Cambria" w:hAnsi="Cambria"/>
          <w:b/>
          <w:bCs/>
          <w:color w:val="2F6B34"/>
          <w:sz w:val="25"/>
          <w:szCs w:val="25"/>
        </w:rPr>
        <w:t xml:space="preserve">2.3  Assumptions</w:t>
      </w:r>
    </w:p>
    <w:p>
      <w:pPr>
        <w:pStyle w:val="ListParagraph"/>
        <w:numPr>
          <w:ilvl w:val="0"/>
          <w:numId w:val="2"/>
        </w:numPr>
        <w:spacing w:after="100" w:line="276"/>
        <w:jc w:val="both"/>
      </w:pPr>
      <w:r>
        <w:rPr>
          <w:rFonts w:ascii="Calibri" w:cs="Calibri" w:eastAsia="Calibri" w:hAnsi="Calibri"/>
          <w:color w:val="222222"/>
          <w:sz w:val="22"/>
          <w:szCs w:val="22"/>
        </w:rPr>
        <w:t xml:space="preserve">The demo/test environment has stable WiFi coverage</w:t>
      </w:r>
    </w:p>
    <w:p>
      <w:pPr>
        <w:pStyle w:val="ListParagraph"/>
        <w:numPr>
          <w:ilvl w:val="0"/>
          <w:numId w:val="2"/>
        </w:numPr>
        <w:spacing w:after="100" w:line="276"/>
        <w:jc w:val="both"/>
      </w:pPr>
      <w:r>
        <w:rPr>
          <w:rFonts w:ascii="Calibri" w:cs="Calibri" w:eastAsia="Calibri" w:hAnsi="Calibri"/>
          <w:color w:val="222222"/>
          <w:sz w:val="22"/>
          <w:szCs w:val="22"/>
        </w:rPr>
        <w:t xml:space="preserve">DHT22, DS18B20, and MQ-135 sensors provide sufficient accuracy for a working prototype</w:t>
      </w:r>
    </w:p>
    <w:p>
      <w:pPr>
        <w:pStyle w:val="ListParagraph"/>
        <w:numPr>
          <w:ilvl w:val="0"/>
          <w:numId w:val="2"/>
        </w:numPr>
        <w:spacing w:after="100" w:line="276"/>
        <w:jc w:val="both"/>
      </w:pPr>
      <w:r>
        <w:rPr>
          <w:rFonts w:ascii="Calibri" w:cs="Calibri" w:eastAsia="Calibri" w:hAnsi="Calibri"/>
          <w:color w:val="222222"/>
          <w:sz w:val="22"/>
          <w:szCs w:val="22"/>
        </w:rPr>
        <w:t xml:space="preserve">Test transport containers are accessible for sensor node placement and retrieval</w:t>
      </w:r>
    </w:p>
    <w:p>
      <w:pPr>
        <w:pStyle w:val="Heading2"/>
        <w:spacing w:after="150" w:before="300"/>
      </w:pPr>
      <w:r>
        <w:rPr>
          <w:rFonts w:ascii="Cambria" w:cs="Cambria" w:eastAsia="Cambria" w:hAnsi="Cambria"/>
          <w:b/>
          <w:bCs/>
          <w:color w:val="2F6B34"/>
          <w:sz w:val="25"/>
          <w:szCs w:val="25"/>
        </w:rPr>
        <w:t xml:space="preserve">2.4  Constraints</w:t>
      </w:r>
    </w:p>
    <w:p>
      <w:pPr>
        <w:pStyle w:val="ListParagraph"/>
        <w:numPr>
          <w:ilvl w:val="0"/>
          <w:numId w:val="2"/>
        </w:numPr>
        <w:spacing w:after="100" w:line="276"/>
        <w:jc w:val="both"/>
      </w:pPr>
      <w:r>
        <w:rPr>
          <w:rFonts w:ascii="Calibri" w:cs="Calibri" w:eastAsia="Calibri" w:hAnsi="Calibri"/>
          <w:color w:val="222222"/>
          <w:sz w:val="22"/>
          <w:szCs w:val="22"/>
        </w:rPr>
        <w:t xml:space="preserve">Battery capacity limits continuous operation on multi-day trips</w:t>
      </w:r>
    </w:p>
    <w:p>
      <w:pPr>
        <w:pStyle w:val="ListParagraph"/>
        <w:numPr>
          <w:ilvl w:val="0"/>
          <w:numId w:val="2"/>
        </w:numPr>
        <w:spacing w:after="100" w:line="276"/>
        <w:jc w:val="both"/>
      </w:pPr>
      <w:r>
        <w:rPr>
          <w:rFonts w:ascii="Calibri" w:cs="Calibri" w:eastAsia="Calibri" w:hAnsi="Calibri"/>
          <w:color w:val="222222"/>
          <w:sz w:val="22"/>
          <w:szCs w:val="22"/>
        </w:rPr>
        <w:t xml:space="preserve">Academic project timeline and hardware budget</w:t>
      </w:r>
    </w:p>
    <w:p>
      <w:pPr>
        <w:pStyle w:val="ListParagraph"/>
        <w:numPr>
          <w:ilvl w:val="0"/>
          <w:numId w:val="2"/>
        </w:numPr>
        <w:spacing w:after="100" w:line="276"/>
        <w:jc w:val="both"/>
      </w:pPr>
      <w:r>
        <w:rPr>
          <w:rFonts w:ascii="Calibri" w:cs="Calibri" w:eastAsia="Calibri" w:hAnsi="Calibri"/>
          <w:color w:val="222222"/>
          <w:sz w:val="22"/>
          <w:szCs w:val="22"/>
        </w:rPr>
        <w:t xml:space="preserve">Limited real-world historical spoilage data available for model validation</w:t>
      </w:r>
    </w:p>
    <w:p>
      <w:pPr>
        <w:pStyle w:val="Heading2"/>
        <w:spacing w:after="150" w:before="300"/>
      </w:pPr>
      <w:r>
        <w:rPr>
          <w:rFonts w:ascii="Cambria" w:cs="Cambria" w:eastAsia="Cambria" w:hAnsi="Cambria"/>
          <w:b/>
          <w:bCs/>
          <w:color w:val="2F6B34"/>
          <w:sz w:val="25"/>
          <w:szCs w:val="25"/>
        </w:rPr>
        <w:t xml:space="preserve">2.5  Dependencies</w:t>
      </w:r>
    </w:p>
    <w:p>
      <w:pPr>
        <w:pStyle w:val="ListParagraph"/>
        <w:numPr>
          <w:ilvl w:val="0"/>
          <w:numId w:val="2"/>
        </w:numPr>
        <w:spacing w:after="100" w:line="276"/>
        <w:jc w:val="both"/>
      </w:pPr>
      <w:r>
        <w:rPr>
          <w:rFonts w:ascii="Calibri" w:cs="Calibri" w:eastAsia="Calibri" w:hAnsi="Calibri"/>
          <w:color w:val="222222"/>
          <w:sz w:val="22"/>
          <w:szCs w:val="22"/>
        </w:rPr>
        <w:t xml:space="preserve">ESP32 microcontroller platform</w:t>
      </w:r>
    </w:p>
    <w:p>
      <w:pPr>
        <w:pStyle w:val="ListParagraph"/>
        <w:numPr>
          <w:ilvl w:val="0"/>
          <w:numId w:val="2"/>
        </w:numPr>
        <w:spacing w:after="100" w:line="276"/>
        <w:jc w:val="both"/>
      </w:pPr>
      <w:r>
        <w:rPr>
          <w:rFonts w:ascii="Calibri" w:cs="Calibri" w:eastAsia="Calibri" w:hAnsi="Calibri"/>
          <w:color w:val="222222"/>
          <w:sz w:val="22"/>
          <w:szCs w:val="22"/>
        </w:rPr>
        <w:t xml:space="preserve">Arduino IDE / MicroPython firmware toolchain</w:t>
      </w:r>
    </w:p>
    <w:p>
      <w:pPr>
        <w:pStyle w:val="ListParagraph"/>
        <w:numPr>
          <w:ilvl w:val="0"/>
          <w:numId w:val="2"/>
        </w:numPr>
        <w:spacing w:after="100" w:line="276"/>
        <w:jc w:val="both"/>
      </w:pPr>
      <w:r>
        <w:rPr>
          <w:rFonts w:ascii="Calibri" w:cs="Calibri" w:eastAsia="Calibri" w:hAnsi="Calibri"/>
          <w:color w:val="222222"/>
          <w:sz w:val="22"/>
          <w:szCs w:val="22"/>
        </w:rPr>
        <w:t xml:space="preserve">Cloud hosting for telemetry storage and the web dashboard</w:t>
      </w:r>
    </w:p>
    <w:p>
      <w:pPr>
        <w:pStyle w:val="ListParagraph"/>
        <w:numPr>
          <w:ilvl w:val="0"/>
          <w:numId w:val="2"/>
        </w:numPr>
        <w:spacing w:after="100" w:line="276"/>
        <w:jc w:val="both"/>
      </w:pPr>
      <w:r>
        <w:rPr>
          <w:rFonts w:ascii="Calibri" w:cs="Calibri" w:eastAsia="Calibri" w:hAnsi="Calibri"/>
          <w:color w:val="222222"/>
          <w:sz w:val="22"/>
          <w:szCs w:val="22"/>
        </w:rPr>
        <w:t xml:space="preserve">Reference thermometer and hygrometer for calibration</w:t>
      </w:r>
    </w:p>
    <w:p>
      <w:pPr>
        <w:pStyle w:val="Heading2"/>
        <w:spacing w:after="150" w:before="300"/>
      </w:pPr>
      <w:r>
        <w:rPr>
          <w:rFonts w:ascii="Cambria" w:cs="Cambria" w:eastAsia="Cambria" w:hAnsi="Cambria"/>
          <w:b/>
          <w:bCs/>
          <w:color w:val="2F6B34"/>
          <w:sz w:val="25"/>
          <w:szCs w:val="25"/>
        </w:rPr>
        <w:t xml:space="preserve">2.6  Acceptance Criteria and Sign-off</w:t>
      </w:r>
    </w:p>
    <w:p>
      <w:pPr>
        <w:pStyle w:val="ListParagraph"/>
        <w:numPr>
          <w:ilvl w:val="0"/>
          <w:numId w:val="2"/>
        </w:numPr>
        <w:spacing w:after="100" w:line="276"/>
        <w:jc w:val="both"/>
      </w:pPr>
      <w:r>
        <w:rPr>
          <w:rFonts w:ascii="Calibri" w:cs="Calibri" w:eastAsia="Calibri" w:hAnsi="Calibri"/>
          <w:color w:val="222222"/>
          <w:sz w:val="22"/>
          <w:szCs w:val="22"/>
        </w:rPr>
        <w:t xml:space="preserve">GIVEN a temperature breach WHEN the configured threshold is exceeded THEN a dashboard/email alert is sent within 10 seconds of detection</w:t>
      </w:r>
    </w:p>
    <w:p>
      <w:pPr>
        <w:pStyle w:val="ListParagraph"/>
        <w:numPr>
          <w:ilvl w:val="0"/>
          <w:numId w:val="2"/>
        </w:numPr>
        <w:spacing w:after="100" w:line="276"/>
        <w:jc w:val="both"/>
      </w:pPr>
      <w:r>
        <w:rPr>
          <w:rFonts w:ascii="Calibri" w:cs="Calibri" w:eastAsia="Calibri" w:hAnsi="Calibri"/>
          <w:color w:val="222222"/>
          <w:sz w:val="22"/>
          <w:szCs w:val="22"/>
        </w:rPr>
        <w:t xml:space="preserve">GIVEN a network interruption WHEN connectivity is lost THEN readings are buffered locally and synced automatically on reconnection with zero data loss</w:t>
      </w:r>
    </w:p>
    <w:p>
      <w:pPr>
        <w:pStyle w:val="ListParagraph"/>
        <w:numPr>
          <w:ilvl w:val="0"/>
          <w:numId w:val="2"/>
        </w:numPr>
        <w:spacing w:after="100" w:line="276"/>
        <w:jc w:val="both"/>
      </w:pPr>
      <w:r>
        <w:rPr>
          <w:rFonts w:ascii="Calibri" w:cs="Calibri" w:eastAsia="Calibri" w:hAnsi="Calibri"/>
          <w:color w:val="222222"/>
          <w:sz w:val="22"/>
          <w:szCs w:val="22"/>
        </w:rPr>
        <w:t xml:space="preserve">GIVEN a completed trip WHEN telemetry is uploaded THEN a chain-of-custody compliance report is auto-generated</w:t>
      </w:r>
    </w:p>
    <w:p>
      <w:pPr>
        <w:spacing w:after="120"/>
      </w:pP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2400"/>
        <w:gridCol w:w="1500"/>
        <w:gridCol w:w="2600"/>
        <w:gridCol w:w="2000"/>
        <w:gridCol w:w="1400"/>
      </w:tblGrid>
      <w:tr>
        <w:trPr>
          <w:tblHeader/>
        </w:trPr>
        <w:tc>
          <w:tcPr>
            <w:tcW w:type="dxa" w:w="2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Stakeholder</w:t>
            </w:r>
          </w:p>
        </w:tc>
        <w:tc>
          <w:tcPr>
            <w:tcW w:type="dxa" w:w="15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Role</w:t>
            </w:r>
          </w:p>
        </w:tc>
        <w:tc>
          <w:tcPr>
            <w:tcW w:type="dxa" w:w="2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Decision Area</w:t>
            </w:r>
          </w:p>
        </w:tc>
        <w:tc>
          <w:tcPr>
            <w:tcW w:type="dxa" w:w="20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Signature/Approval</w:t>
            </w:r>
          </w:p>
        </w:tc>
        <w:tc>
          <w:tcPr>
            <w:tcW w:type="dxa" w:w="1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Date</w:t>
            </w:r>
          </w:p>
        </w:tc>
      </w:tr>
      <w:tr>
        <w:tc>
          <w:tcPr>
            <w:tcW w:type="dxa" w:w="2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Prof. Yunis Ahmad Lone</w:t>
            </w:r>
          </w:p>
        </w:tc>
        <w:tc>
          <w:tcPr>
            <w:tcW w:type="dxa" w:w="15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Scope, final acceptance</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
            </w:r>
          </w:p>
        </w:tc>
      </w:tr>
      <w:tr>
        <w:tc>
          <w:tcPr>
            <w:tcW w:type="dxa" w:w="2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15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 Lead</w:t>
            </w:r>
          </w:p>
        </w:tc>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Release readiness</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
            </w:r>
          </w:p>
        </w:tc>
      </w:tr>
    </w:tbl>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3. Stakeholders and RACI</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2400"/>
        <w:gridCol w:w="2200"/>
        <w:gridCol w:w="2200"/>
        <w:gridCol w:w="1500"/>
        <w:gridCol w:w="1600"/>
      </w:tblGrid>
      <w:tr>
        <w:trPr>
          <w:tblHeader/>
        </w:trPr>
        <w:tc>
          <w:tcPr>
            <w:tcW w:type="dxa" w:w="2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Activity</w:t>
            </w:r>
          </w:p>
        </w:tc>
        <w:tc>
          <w:tcPr>
            <w:tcW w:type="dxa" w:w="22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Responsible (R)</w:t>
            </w:r>
          </w:p>
        </w:tc>
        <w:tc>
          <w:tcPr>
            <w:tcW w:type="dxa" w:w="22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Accountable (A)</w:t>
            </w:r>
          </w:p>
        </w:tc>
        <w:tc>
          <w:tcPr>
            <w:tcW w:type="dxa" w:w="15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Consulted (C)</w:t>
            </w:r>
          </w:p>
        </w:tc>
        <w:tc>
          <w:tcPr>
            <w:tcW w:type="dxa" w:w="1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Informed (I)</w:t>
            </w:r>
          </w:p>
        </w:tc>
      </w:tr>
      <w:tr>
        <w:tc>
          <w:tcPr>
            <w:tcW w:type="dxa" w:w="2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Requirements</w:t>
            </w:r>
          </w:p>
        </w:tc>
        <w:tc>
          <w:tcPr>
            <w:tcW w:type="dxa" w:w="2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c>
          <w:tcPr>
            <w:tcW w:type="dxa" w:w="2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15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w:t>
            </w:r>
          </w:p>
        </w:tc>
      </w:tr>
      <w:tr>
        <w:tc>
          <w:tcPr>
            <w:tcW w:type="dxa" w:w="2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Hardware Design</w:t>
            </w:r>
          </w:p>
        </w:tc>
        <w:tc>
          <w:tcPr>
            <w:tcW w:type="dxa" w:w="2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Piyush Singh Tomar</w:t>
            </w:r>
          </w:p>
        </w:tc>
        <w:tc>
          <w:tcPr>
            <w:tcW w:type="dxa" w:w="2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15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1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w:t>
            </w:r>
          </w:p>
        </w:tc>
      </w:tr>
      <w:tr>
        <w:tc>
          <w:tcPr>
            <w:tcW w:type="dxa" w:w="2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Firmware &amp; Edge Logic</w:t>
            </w:r>
          </w:p>
        </w:tc>
        <w:tc>
          <w:tcPr>
            <w:tcW w:type="dxa" w:w="2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2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15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w:t>
            </w:r>
          </w:p>
        </w:tc>
      </w:tr>
      <w:tr>
        <w:tc>
          <w:tcPr>
            <w:tcW w:type="dxa" w:w="2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Cloud Dashboard</w:t>
            </w:r>
          </w:p>
        </w:tc>
        <w:tc>
          <w:tcPr>
            <w:tcW w:type="dxa" w:w="2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Piyush Singh Tomar</w:t>
            </w:r>
          </w:p>
        </w:tc>
        <w:tc>
          <w:tcPr>
            <w:tcW w:type="dxa" w:w="2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Piyush Singh Tomar</w:t>
            </w:r>
          </w:p>
        </w:tc>
        <w:tc>
          <w:tcPr>
            <w:tcW w:type="dxa" w:w="15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1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w:t>
            </w:r>
          </w:p>
        </w:tc>
      </w:tr>
      <w:tr>
        <w:tc>
          <w:tcPr>
            <w:tcW w:type="dxa" w:w="2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Testing &amp; Calibration</w:t>
            </w:r>
          </w:p>
        </w:tc>
        <w:tc>
          <w:tcPr>
            <w:tcW w:type="dxa" w:w="2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c>
          <w:tcPr>
            <w:tcW w:type="dxa" w:w="2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15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w:t>
            </w:r>
          </w:p>
        </w:tc>
      </w:tr>
      <w:tr>
        <w:tc>
          <w:tcPr>
            <w:tcW w:type="dxa" w:w="2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Release / Demonstration</w:t>
            </w:r>
          </w:p>
        </w:tc>
        <w:tc>
          <w:tcPr>
            <w:tcW w:type="dxa" w:w="2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c>
          <w:tcPr>
            <w:tcW w:type="dxa" w:w="2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c>
          <w:tcPr>
            <w:tcW w:type="dxa" w:w="15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Mentor</w:t>
            </w:r>
          </w:p>
        </w:tc>
        <w:tc>
          <w:tcPr>
            <w:tcW w:type="dxa" w:w="1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Dept</w:t>
            </w:r>
          </w:p>
        </w:tc>
      </w:tr>
    </w:tbl>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4. Team and Roles</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1900"/>
        <w:gridCol w:w="2100"/>
        <w:gridCol w:w="2600"/>
        <w:gridCol w:w="2000"/>
        <w:gridCol w:w="1300"/>
      </w:tblGrid>
      <w:tr>
        <w:trPr>
          <w:tblHeader/>
        </w:trPr>
        <w:tc>
          <w:tcPr>
            <w:tcW w:type="dxa" w:w="1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Member</w:t>
            </w:r>
          </w:p>
        </w:tc>
        <w:tc>
          <w:tcPr>
            <w:tcW w:type="dxa" w:w="21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Role</w:t>
            </w:r>
          </w:p>
        </w:tc>
        <w:tc>
          <w:tcPr>
            <w:tcW w:type="dxa" w:w="2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Responsibilities</w:t>
            </w:r>
          </w:p>
        </w:tc>
        <w:tc>
          <w:tcPr>
            <w:tcW w:type="dxa" w:w="20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Key Skills</w:t>
            </w:r>
          </w:p>
        </w:tc>
        <w:tc>
          <w:tcPr>
            <w:tcW w:type="dxa" w:w="13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Contact</w:t>
            </w:r>
          </w:p>
        </w:tc>
      </w:tr>
      <w:tr>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Team Lead / Hardware &amp; Firmware</w:t>
            </w:r>
          </w:p>
        </w:tc>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Architecture, sensor wiring, edge firmware, power optimisation</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Embedded C, ESP32, IoT protocols</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ansh.yadav_cs.aiml24@gla.ac.in</w:t>
            </w:r>
          </w:p>
        </w:tc>
      </w:tr>
      <w:tr>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Piyush Singh Tomar</w:t>
            </w:r>
          </w:p>
        </w:tc>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Cloud &amp; Dashboard</w:t>
            </w:r>
          </w:p>
        </w:tc>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Telemetry API, database, alert configuration, dashboard UI</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Node.js, React, MQTT/HTTP</w:t>
            </w:r>
          </w:p>
        </w:tc>
        <w:tc>
          <w:tcPr>
            <w:tcW w:type="dxa" w:w="13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piyush.tomar_cs.aiml24@gla.ac.in</w:t>
            </w:r>
          </w:p>
        </w:tc>
      </w:tr>
      <w:tr>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Testing &amp; Documentation</w:t>
            </w:r>
          </w:p>
        </w:tc>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Sensor calibration, test plan, requirements, reporting</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Data analysis, technical writing</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charu.khandelwal_cs.aiml24@gla.ac.in</w:t>
            </w:r>
          </w:p>
        </w:tc>
      </w:tr>
    </w:tbl>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5. Week-wise Plan and Assignments</w:t>
      </w:r>
    </w:p>
    <w:tbl>
      <w:tblPr>
        <w:tblW w:type="dxa" w:w="9500"/>
        <w:tblBorders>
          <w:top w:val="single" w:color="B9C7B7" w:sz="4"/>
          <w:left w:val="single" w:color="B9C7B7" w:sz="4"/>
          <w:bottom w:val="single" w:color="B9C7B7" w:sz="4"/>
          <w:right w:val="single" w:color="B9C7B7" w:sz="4"/>
          <w:insideH w:val="single" w:color="B9C7B7" w:sz="4"/>
          <w:insideV w:val="single" w:color="B9C7B7" w:sz="4"/>
        </w:tblBorders>
      </w:tblPr>
      <w:tblGrid>
        <w:gridCol w:w="1100"/>
        <w:gridCol w:w="4900"/>
        <w:gridCol w:w="2100"/>
        <w:gridCol w:w="1400"/>
      </w:tblGrid>
      <w:tr>
        <w:trPr>
          <w:tblHeader/>
        </w:trPr>
        <w:tc>
          <w:tcPr>
            <w:tcW w:type="dxa" w:w="11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Week</w:t>
            </w:r>
          </w:p>
        </w:tc>
        <w:tc>
          <w:tcPr>
            <w:tcW w:type="dxa" w:w="4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Planned Work</w:t>
            </w:r>
          </w:p>
        </w:tc>
        <w:tc>
          <w:tcPr>
            <w:tcW w:type="dxa" w:w="21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Deliverable</w:t>
            </w:r>
          </w:p>
        </w:tc>
        <w:tc>
          <w:tcPr>
            <w:tcW w:type="dxa" w:w="1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Status</w:t>
            </w:r>
          </w:p>
        </w:tc>
      </w:tr>
      <w:tr>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1</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Requirement analysis, research, and component procurement</w:t>
            </w:r>
          </w:p>
        </w:tc>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Requirements doc</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2</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Sensor bring-up: wire DS18B20, DHT22, MQ-135, basic read/log</w:t>
            </w:r>
          </w:p>
        </w:tc>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Working sensor rig</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3</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Power optimisation: sleep routines, battery current profiling</w:t>
            </w:r>
          </w:p>
        </w:tc>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Low-power firmware</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4</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Local buffering: SD/EEPROM storage and resync logic</w:t>
            </w:r>
          </w:p>
        </w:tc>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Offline buffer module</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5</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WiFi connectivity and cloud telemetry transmission</w:t>
            </w:r>
          </w:p>
        </w:tc>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Connected node</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6</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Shelf-life decay model implementation on-device</w:t>
            </w:r>
          </w:p>
        </w:tc>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Decay model module</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7</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Cloud dashboard: live graphs, alert configuration, compliance report</w:t>
            </w:r>
          </w:p>
        </w:tc>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Dashboard + reports</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r>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 8</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Testing, calibration, documentation, and final demonstration</w:t>
            </w:r>
          </w:p>
        </w:tc>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Final demo, report</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Planned</w:t>
            </w:r>
          </w:p>
        </w:tc>
      </w:tr>
    </w:tbl>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6. Users and UX</w:t>
      </w:r>
    </w:p>
    <w:p>
      <w:pPr>
        <w:pStyle w:val="Heading2"/>
        <w:spacing w:after="150" w:before="300"/>
      </w:pPr>
      <w:r>
        <w:rPr>
          <w:rFonts w:ascii="Cambria" w:cs="Cambria" w:eastAsia="Cambria" w:hAnsi="Cambria"/>
          <w:b/>
          <w:bCs/>
          <w:color w:val="2F6B34"/>
          <w:sz w:val="25"/>
          <w:szCs w:val="25"/>
        </w:rPr>
        <w:t xml:space="preserve">6.1  Personas</w:t>
      </w:r>
    </w:p>
    <w:p>
      <w:pPr>
        <w:pStyle w:val="ListParagraph"/>
        <w:numPr>
          <w:ilvl w:val="0"/>
          <w:numId w:val="2"/>
        </w:numPr>
        <w:spacing w:after="100" w:line="276"/>
        <w:jc w:val="both"/>
      </w:pPr>
      <w:r>
        <w:rPr>
          <w:rFonts w:ascii="Calibri" w:cs="Calibri" w:eastAsia="Calibri" w:hAnsi="Calibri"/>
          <w:color w:val="222222"/>
          <w:sz w:val="22"/>
          <w:szCs w:val="22"/>
        </w:rPr>
        <w:t xml:space="preserve">Logistics Manager: Needs immediate breach alerts and live visibility to intervene before goods spoil.</w:t>
      </w:r>
    </w:p>
    <w:p>
      <w:pPr>
        <w:pStyle w:val="ListParagraph"/>
        <w:numPr>
          <w:ilvl w:val="0"/>
          <w:numId w:val="2"/>
        </w:numPr>
        <w:spacing w:after="100" w:line="276"/>
        <w:jc w:val="both"/>
      </w:pPr>
      <w:r>
        <w:rPr>
          <w:rFonts w:ascii="Calibri" w:cs="Calibri" w:eastAsia="Calibri" w:hAnsi="Calibri"/>
          <w:color w:val="222222"/>
          <w:sz w:val="22"/>
          <w:szCs w:val="22"/>
        </w:rPr>
        <w:t xml:space="preserve">Quality/Compliance Auditor: Needs a reliable, timestamped chain-of-custody report for every completed trip.</w:t>
      </w:r>
    </w:p>
    <w:p>
      <w:pPr>
        <w:pStyle w:val="Heading2"/>
        <w:spacing w:after="150" w:before="300"/>
      </w:pPr>
      <w:r>
        <w:rPr>
          <w:rFonts w:ascii="Cambria" w:cs="Cambria" w:eastAsia="Cambria" w:hAnsi="Cambria"/>
          <w:b/>
          <w:bCs/>
          <w:color w:val="2F6B34"/>
          <w:sz w:val="25"/>
          <w:szCs w:val="25"/>
        </w:rPr>
        <w:t xml:space="preserve">6.2  Top User Journey</w:t>
      </w:r>
    </w:p>
    <w:p>
      <w:pPr>
        <w:spacing w:after="160" w:line="288"/>
        <w:jc w:val="both"/>
      </w:pPr>
      <w:r>
        <w:rPr>
          <w:rFonts w:ascii="Calibri" w:cs="Calibri" w:eastAsia="Calibri" w:hAnsi="Calibri"/>
          <w:color w:val="222222"/>
          <w:sz w:val="22"/>
          <w:szCs w:val="22"/>
        </w:rPr>
        <w:t xml:space="preserve">Node powers on, sensors begin logging, data is transmitted over WiFi or buffered locally during interruptions, the dashboard shows live temperature and humidity trends, a threshold breach triggers an alert, and the auditor retrieves the compliance report once the trip is complete.</w:t>
      </w:r>
    </w:p>
    <w:p>
      <w:pPr>
        <w:pStyle w:val="Heading2"/>
        <w:spacing w:after="150" w:before="300"/>
      </w:pPr>
      <w:r>
        <w:rPr>
          <w:rFonts w:ascii="Cambria" w:cs="Cambria" w:eastAsia="Cambria" w:hAnsi="Cambria"/>
          <w:b/>
          <w:bCs/>
          <w:color w:val="2F6B34"/>
          <w:sz w:val="25"/>
          <w:szCs w:val="25"/>
        </w:rPr>
        <w:t xml:space="preserve">6.3  User Stories</w:t>
      </w:r>
    </w:p>
    <w:p>
      <w:pPr>
        <w:pStyle w:val="ListParagraph"/>
        <w:numPr>
          <w:ilvl w:val="0"/>
          <w:numId w:val="2"/>
        </w:numPr>
        <w:spacing w:after="100" w:line="276"/>
        <w:jc w:val="both"/>
      </w:pPr>
      <w:r>
        <w:rPr>
          <w:rFonts w:ascii="Calibri" w:cs="Calibri" w:eastAsia="Calibri" w:hAnsi="Calibri"/>
          <w:color w:val="222222"/>
          <w:sz w:val="22"/>
          <w:szCs w:val="22"/>
        </w:rPr>
        <w:t xml:space="preserve">As a logistics manager, I want immediate alerts on temperature breaches so I can intervene before goods spoil.</w:t>
      </w:r>
    </w:p>
    <w:p>
      <w:pPr>
        <w:pStyle w:val="ListParagraph"/>
        <w:numPr>
          <w:ilvl w:val="0"/>
          <w:numId w:val="2"/>
        </w:numPr>
        <w:spacing w:after="100" w:line="276"/>
        <w:jc w:val="both"/>
      </w:pPr>
      <w:r>
        <w:rPr>
          <w:rFonts w:ascii="Calibri" w:cs="Calibri" w:eastAsia="Calibri" w:hAnsi="Calibri"/>
          <w:color w:val="222222"/>
          <w:sz w:val="22"/>
          <w:szCs w:val="22"/>
        </w:rPr>
        <w:t xml:space="preserve">As a compliance auditor, I want an automated chain-of-custody report so I do not have to manually reconcile logs after every trip.</w:t>
      </w:r>
    </w:p>
    <w:p>
      <w:pPr>
        <w:pStyle w:val="Heading2"/>
        <w:spacing w:after="150" w:before="300"/>
      </w:pPr>
      <w:r>
        <w:rPr>
          <w:rFonts w:ascii="Cambria" w:cs="Cambria" w:eastAsia="Cambria" w:hAnsi="Cambria"/>
          <w:b/>
          <w:bCs/>
          <w:color w:val="2F6B34"/>
          <w:sz w:val="25"/>
          <w:szCs w:val="25"/>
        </w:rPr>
        <w:t xml:space="preserve">6.4  Accessibility &amp; Localization</w:t>
      </w:r>
    </w:p>
    <w:p>
      <w:pPr>
        <w:pStyle w:val="ListParagraph"/>
        <w:numPr>
          <w:ilvl w:val="0"/>
          <w:numId w:val="2"/>
        </w:numPr>
        <w:spacing w:after="100" w:line="276"/>
        <w:jc w:val="both"/>
      </w:pPr>
      <w:r>
        <w:rPr>
          <w:rFonts w:ascii="Calibri" w:cs="Calibri" w:eastAsia="Calibri" w:hAnsi="Calibri"/>
          <w:color w:val="222222"/>
          <w:sz w:val="22"/>
          <w:szCs w:val="22"/>
        </w:rPr>
        <w:t xml:space="preserve">Simple, mobile-friendly web dashboard</w:t>
      </w:r>
    </w:p>
    <w:p>
      <w:pPr>
        <w:pStyle w:val="ListParagraph"/>
        <w:numPr>
          <w:ilvl w:val="0"/>
          <w:numId w:val="2"/>
        </w:numPr>
        <w:spacing w:after="100" w:line="276"/>
        <w:jc w:val="both"/>
      </w:pPr>
      <w:r>
        <w:rPr>
          <w:rFonts w:ascii="Calibri" w:cs="Calibri" w:eastAsia="Calibri" w:hAnsi="Calibri"/>
          <w:color w:val="222222"/>
          <w:sz w:val="22"/>
          <w:szCs w:val="22"/>
        </w:rPr>
        <w:t xml:space="preserve">Plain-language alert messages</w:t>
      </w:r>
    </w:p>
    <w:p>
      <w:pPr>
        <w:pStyle w:val="ListParagraph"/>
        <w:numPr>
          <w:ilvl w:val="0"/>
          <w:numId w:val="2"/>
        </w:numPr>
        <w:spacing w:after="100" w:line="276"/>
        <w:jc w:val="both"/>
      </w:pPr>
      <w:r>
        <w:rPr>
          <w:rFonts w:ascii="Calibri" w:cs="Calibri" w:eastAsia="Calibri" w:hAnsi="Calibri"/>
          <w:color w:val="222222"/>
          <w:sz w:val="22"/>
          <w:szCs w:val="22"/>
        </w:rPr>
        <w:t xml:space="preserve">English language support in v1</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7. Market and Competitors</w:t>
      </w:r>
    </w:p>
    <w:p>
      <w:pPr>
        <w:pStyle w:val="Heading2"/>
        <w:spacing w:after="150" w:before="300"/>
      </w:pPr>
      <w:r>
        <w:rPr>
          <w:rFonts w:ascii="Cambria" w:cs="Cambria" w:eastAsia="Cambria" w:hAnsi="Cambria"/>
          <w:b/>
          <w:bCs/>
          <w:color w:val="2F6B34"/>
          <w:sz w:val="25"/>
          <w:szCs w:val="25"/>
        </w:rPr>
        <w:t xml:space="preserve">7.1  Competitor Table</w:t>
      </w:r>
    </w:p>
    <w:tbl>
      <w:tblPr>
        <w:tblW w:type="dxa" w:w="10200"/>
        <w:tblBorders>
          <w:top w:val="single" w:color="B9C7B7" w:sz="4"/>
          <w:left w:val="single" w:color="B9C7B7" w:sz="4"/>
          <w:bottom w:val="single" w:color="B9C7B7" w:sz="4"/>
          <w:right w:val="single" w:color="B9C7B7" w:sz="4"/>
          <w:insideH w:val="single" w:color="B9C7B7" w:sz="4"/>
          <w:insideV w:val="single" w:color="B9C7B7" w:sz="4"/>
        </w:tblBorders>
      </w:tblPr>
      <w:tblGrid>
        <w:gridCol w:w="1700"/>
        <w:gridCol w:w="1600"/>
        <w:gridCol w:w="1700"/>
        <w:gridCol w:w="1600"/>
        <w:gridCol w:w="1900"/>
        <w:gridCol w:w="1700"/>
      </w:tblGrid>
      <w:tr>
        <w:trPr>
          <w:tblHeader/>
        </w:trPr>
        <w:tc>
          <w:tcPr>
            <w:tcW w:type="dxa" w:w="17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Approach</w:t>
            </w:r>
          </w:p>
        </w:tc>
        <w:tc>
          <w:tcPr>
            <w:tcW w:type="dxa" w:w="1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Target Users</w:t>
            </w:r>
          </w:p>
        </w:tc>
        <w:tc>
          <w:tcPr>
            <w:tcW w:type="dxa" w:w="17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Key Features</w:t>
            </w:r>
          </w:p>
        </w:tc>
        <w:tc>
          <w:tcPr>
            <w:tcW w:type="dxa" w:w="1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Strengths</w:t>
            </w:r>
          </w:p>
        </w:tc>
        <w:tc>
          <w:tcPr>
            <w:tcW w:type="dxa" w:w="1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Weaknesses</w:t>
            </w:r>
          </w:p>
        </w:tc>
        <w:tc>
          <w:tcPr>
            <w:tcW w:type="dxa" w:w="17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Our Differentiator</w:t>
            </w:r>
          </w:p>
        </w:tc>
      </w:tr>
      <w:tr>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Enterprise cold-chain loggers (e.g. Sensitech, Controlant)</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Large logistics and pharma operators</w:t>
            </w:r>
          </w:p>
        </w:tc>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GPS tracking, temperature loggers, analytics</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Reliable, established, enterprise support</w:t>
            </w:r>
          </w:p>
        </w:tc>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Expensive, closed platform, overkill for small operators</w:t>
            </w:r>
          </w:p>
        </w:tc>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Low-cost, open, student-buildable hardware</w:t>
            </w:r>
          </w:p>
        </w:tc>
      </w:tr>
      <w:tr>
        <w:tc>
          <w:tcPr>
            <w:tcW w:type="dxa" w:w="17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Wireless sensor platforms (e.g. Monnit)</w:t>
            </w:r>
          </w:p>
        </w:tc>
        <w:tc>
          <w:tcPr>
            <w:tcW w:type="dxa" w:w="1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SMB warehouse/transport monitoring</w:t>
            </w:r>
          </w:p>
        </w:tc>
        <w:tc>
          <w:tcPr>
            <w:tcW w:type="dxa" w:w="17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Wireless sensors, cloud alerts</w:t>
            </w:r>
          </w:p>
        </w:tc>
        <w:tc>
          <w:tcPr>
            <w:tcW w:type="dxa" w:w="1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Easy to deploy, cloud-connected</w:t>
            </w:r>
          </w:p>
        </w:tc>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Ongoing subscription cost, limited on-device intelligence</w:t>
            </w:r>
          </w:p>
        </w:tc>
        <w:tc>
          <w:tcPr>
            <w:tcW w:type="dxa" w:w="17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On-edge spoilage prediction, not just raw logging</w:t>
            </w:r>
          </w:p>
        </w:tc>
      </w:tr>
      <w:tr>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Basic USB temperature data loggers</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General users, one-off shipments</w:t>
            </w:r>
          </w:p>
        </w:tc>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Simple logging, USB download</w:t>
            </w:r>
          </w:p>
        </w:tc>
        <w:tc>
          <w:tcPr>
            <w:tcW w:type="dxa" w:w="1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Very cheap, easy to use</w:t>
            </w:r>
          </w:p>
        </w:tc>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real-time alerts, no predictive model, manual retrieval only</w:t>
            </w:r>
          </w:p>
        </w:tc>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Real-time alerting with predictive decay modelling</w:t>
            </w:r>
          </w:p>
        </w:tc>
      </w:tr>
    </w:tbl>
    <w:p>
      <w:pPr>
        <w:pStyle w:val="Heading2"/>
        <w:spacing w:after="150" w:before="300"/>
      </w:pPr>
      <w:r>
        <w:rPr>
          <w:rFonts w:ascii="Cambria" w:cs="Cambria" w:eastAsia="Cambria" w:hAnsi="Cambria"/>
          <w:b/>
          <w:bCs/>
          <w:color w:val="2F6B34"/>
          <w:sz w:val="25"/>
          <w:szCs w:val="25"/>
        </w:rPr>
        <w:t xml:space="preserve">7.2  Positioning</w:t>
      </w:r>
    </w:p>
    <w:p>
      <w:pPr>
        <w:spacing w:after="160" w:line="288"/>
        <w:jc w:val="both"/>
      </w:pPr>
      <w:r>
        <w:rPr>
          <w:rFonts w:ascii="Calibri" w:cs="Calibri" w:eastAsia="Calibri" w:hAnsi="Calibri"/>
          <w:color w:val="222222"/>
          <w:sz w:val="22"/>
          <w:szCs w:val="22"/>
        </w:rPr>
        <w:t xml:space="preserve">The system positions itself as a low-cost, predictive alternative to enterprise cold-chain trackers, combining on-edge spoilage prediction with resilient offline buffering, aimed at small and mid-size logistics operators and academic prototyping rather than large industrial deployments.</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8. Objectives and Success Metrics</w:t>
      </w:r>
    </w:p>
    <w:p>
      <w:pPr>
        <w:pStyle w:val="ListParagraph"/>
        <w:numPr>
          <w:ilvl w:val="0"/>
          <w:numId w:val="2"/>
        </w:numPr>
        <w:spacing w:after="100" w:line="276"/>
        <w:jc w:val="both"/>
      </w:pPr>
      <w:r>
        <w:rPr>
          <w:rFonts w:ascii="Calibri" w:cs="Calibri" w:eastAsia="Calibri" w:hAnsi="Calibri"/>
          <w:color w:val="222222"/>
          <w:sz w:val="22"/>
          <w:szCs w:val="22"/>
        </w:rPr>
        <w:t xml:space="preserve">O1: Alert latency — breach-to-notification time of 10 seconds or less by the evaluation milestone (KPI: seconds)</w:t>
      </w:r>
    </w:p>
    <w:p>
      <w:pPr>
        <w:pStyle w:val="ListParagraph"/>
        <w:numPr>
          <w:ilvl w:val="0"/>
          <w:numId w:val="2"/>
        </w:numPr>
        <w:spacing w:after="100" w:line="276"/>
        <w:jc w:val="both"/>
      </w:pPr>
      <w:r>
        <w:rPr>
          <w:rFonts w:ascii="Calibri" w:cs="Calibri" w:eastAsia="Calibri" w:hAnsi="Calibri"/>
          <w:color w:val="222222"/>
          <w:sz w:val="22"/>
          <w:szCs w:val="22"/>
        </w:rPr>
        <w:t xml:space="preserve">O2: Temperature accuracy — within 0.5 degrees Celsius of a reference thermometer (KPI: deviation in degrees Celsius)</w:t>
      </w:r>
    </w:p>
    <w:p>
      <w:pPr>
        <w:pStyle w:val="ListParagraph"/>
        <w:numPr>
          <w:ilvl w:val="0"/>
          <w:numId w:val="2"/>
        </w:numPr>
        <w:spacing w:after="100" w:line="276"/>
        <w:jc w:val="both"/>
      </w:pPr>
      <w:r>
        <w:rPr>
          <w:rFonts w:ascii="Calibri" w:cs="Calibri" w:eastAsia="Calibri" w:hAnsi="Calibri"/>
          <w:color w:val="222222"/>
          <w:sz w:val="22"/>
          <w:szCs w:val="22"/>
        </w:rPr>
        <w:t xml:space="preserve">O3: Battery life — at least 3 days of continuous operation on a single charge (KPI: days)</w:t>
      </w:r>
    </w:p>
    <w:p>
      <w:pPr>
        <w:pStyle w:val="ListParagraph"/>
        <w:numPr>
          <w:ilvl w:val="0"/>
          <w:numId w:val="2"/>
        </w:numPr>
        <w:spacing w:after="100" w:line="276"/>
        <w:jc w:val="both"/>
      </w:pPr>
      <w:r>
        <w:rPr>
          <w:rFonts w:ascii="Calibri" w:cs="Calibri" w:eastAsia="Calibri" w:hAnsi="Calibri"/>
          <w:color w:val="222222"/>
          <w:sz w:val="22"/>
          <w:szCs w:val="22"/>
        </w:rPr>
        <w:t xml:space="preserve">O4: Data integrity — 100 percent buffer recovery after a simulated network interruption (KPI: recovery rate)</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9. Key Features</w:t>
      </w:r>
    </w:p>
    <w:tbl>
      <w:tblPr>
        <w:tblW w:type="dxa" w:w="9200"/>
        <w:tblBorders>
          <w:top w:val="single" w:color="B9C7B7" w:sz="4"/>
          <w:left w:val="single" w:color="B9C7B7" w:sz="4"/>
          <w:bottom w:val="single" w:color="B9C7B7" w:sz="4"/>
          <w:right w:val="single" w:color="B9C7B7" w:sz="4"/>
          <w:insideH w:val="single" w:color="B9C7B7" w:sz="4"/>
          <w:insideV w:val="single" w:color="B9C7B7" w:sz="4"/>
        </w:tblBorders>
      </w:tblPr>
      <w:tblGrid>
        <w:gridCol w:w="1900"/>
        <w:gridCol w:w="3400"/>
        <w:gridCol w:w="1300"/>
        <w:gridCol w:w="2600"/>
      </w:tblGrid>
      <w:tr>
        <w:trPr>
          <w:tblHeader/>
        </w:trPr>
        <w:tc>
          <w:tcPr>
            <w:tcW w:type="dxa" w:w="1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Feature</w:t>
            </w:r>
          </w:p>
        </w:tc>
        <w:tc>
          <w:tcPr>
            <w:tcW w:type="dxa" w:w="3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Description</w:t>
            </w:r>
          </w:p>
        </w:tc>
        <w:tc>
          <w:tcPr>
            <w:tcW w:type="dxa" w:w="13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Priority</w:t>
            </w:r>
          </w:p>
        </w:tc>
        <w:tc>
          <w:tcPr>
            <w:tcW w:type="dxa" w:w="2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Acceptance Criteria</w:t>
            </w:r>
          </w:p>
        </w:tc>
      </w:tr>
      <w:tr>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Continuous Environmental Logging</w:t>
            </w:r>
          </w:p>
        </w:tc>
        <w:tc>
          <w:tcPr>
            <w:tcW w:type="dxa" w:w="3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Logs temperature, humidity, and VOC levels at a configurable interval.</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Must</w:t>
            </w:r>
          </w:p>
        </w:tc>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GIVEN the node is powered WHEN the logging interval elapses THEN a new reading is stored locally</w:t>
            </w:r>
          </w:p>
        </w:tc>
      </w:tr>
      <w:tr>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Spoilage Decay Model</w:t>
            </w:r>
          </w:p>
        </w:tc>
        <w:tc>
          <w:tcPr>
            <w:tcW w:type="dxa" w:w="3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Computes a shelf-life decay estimate using a simplified Arrhenius kinetic model on-device.</w:t>
            </w:r>
          </w:p>
        </w:tc>
        <w:tc>
          <w:tcPr>
            <w:tcW w:type="dxa" w:w="13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Must</w:t>
            </w:r>
          </w:p>
        </w:tc>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GIVEN a temperature history WHEN decay is computed THEN a remaining-shelf-life estimate is produced</w:t>
            </w:r>
          </w:p>
        </w:tc>
      </w:tr>
      <w:tr>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Real-time Breach Alerts</w:t>
            </w:r>
          </w:p>
        </w:tc>
        <w:tc>
          <w:tcPr>
            <w:tcW w:type="dxa" w:w="3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Sends a dashboard/email alert when a configured threshold is breached.</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Must</w:t>
            </w:r>
          </w:p>
        </w:tc>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GIVEN a threshold breach WHEN detected THEN an alert is sent within 10 seconds</w:t>
            </w:r>
          </w:p>
        </w:tc>
      </w:tr>
      <w:tr>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Offline Buffering</w:t>
            </w:r>
          </w:p>
        </w:tc>
        <w:tc>
          <w:tcPr>
            <w:tcW w:type="dxa" w:w="3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Stores readings locally during network interruptions and syncs automatically on reconnection.</w:t>
            </w:r>
          </w:p>
        </w:tc>
        <w:tc>
          <w:tcPr>
            <w:tcW w:type="dxa" w:w="13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Must</w:t>
            </w:r>
          </w:p>
        </w:tc>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GIVEN no network WHEN readings occur THEN they are buffered and synced without loss on reconnection</w:t>
            </w:r>
          </w:p>
        </w:tc>
      </w:tr>
      <w:tr>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Compliance Report</w:t>
            </w:r>
          </w:p>
        </w:tc>
        <w:tc>
          <w:tcPr>
            <w:tcW w:type="dxa" w:w="3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Auto-generates a chain-of-custody report at the end of each trip.</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Should</w:t>
            </w:r>
          </w:p>
        </w:tc>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GIVEN a completed trip WHEN requested THEN a report is generated with the full temperature history</w:t>
            </w:r>
          </w:p>
        </w:tc>
      </w:tr>
      <w:tr>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Geolocation Tracking</w:t>
            </w:r>
          </w:p>
        </w:tc>
        <w:tc>
          <w:tcPr>
            <w:tcW w:type="dxa" w:w="3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Records approximate location alongside environmental data.</w:t>
            </w:r>
          </w:p>
        </w:tc>
        <w:tc>
          <w:tcPr>
            <w:tcW w:type="dxa" w:w="13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Could (future scope)</w:t>
            </w:r>
          </w:p>
        </w:tc>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GIVEN location data is available WHEN transmitted THEN it is shown on the dashboard</w:t>
            </w:r>
          </w:p>
        </w:tc>
      </w:tr>
    </w:tbl>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10. Expected Outcomes</w:t>
      </w:r>
    </w:p>
    <w:p>
      <w:pPr>
        <w:pStyle w:val="ListParagraph"/>
        <w:numPr>
          <w:ilvl w:val="0"/>
          <w:numId w:val="2"/>
        </w:numPr>
        <w:spacing w:after="100" w:line="276"/>
        <w:jc w:val="both"/>
      </w:pPr>
      <w:r>
        <w:rPr>
          <w:rFonts w:ascii="Calibri" w:cs="Calibri" w:eastAsia="Calibri" w:hAnsi="Calibri"/>
          <w:color w:val="222222"/>
          <w:sz w:val="22"/>
          <w:szCs w:val="22"/>
        </w:rPr>
        <w:t xml:space="preserve">A functional, battery-powered sensor-node prototype for cold-chain environmental monitoring</w:t>
      </w:r>
    </w:p>
    <w:p>
      <w:pPr>
        <w:pStyle w:val="ListParagraph"/>
        <w:numPr>
          <w:ilvl w:val="0"/>
          <w:numId w:val="2"/>
        </w:numPr>
        <w:spacing w:after="100" w:line="276"/>
        <w:jc w:val="both"/>
      </w:pPr>
      <w:r>
        <w:rPr>
          <w:rFonts w:ascii="Calibri" w:cs="Calibri" w:eastAsia="Calibri" w:hAnsi="Calibri"/>
          <w:color w:val="222222"/>
          <w:sz w:val="22"/>
          <w:szCs w:val="22"/>
        </w:rPr>
        <w:t xml:space="preserve">Continuous logging of temperature, humidity, and VOC levels inside a transport container</w:t>
      </w:r>
    </w:p>
    <w:p>
      <w:pPr>
        <w:pStyle w:val="ListParagraph"/>
        <w:numPr>
          <w:ilvl w:val="0"/>
          <w:numId w:val="2"/>
        </w:numPr>
        <w:spacing w:after="100" w:line="276"/>
        <w:jc w:val="both"/>
      </w:pPr>
      <w:r>
        <w:rPr>
          <w:rFonts w:ascii="Calibri" w:cs="Calibri" w:eastAsia="Calibri" w:hAnsi="Calibri"/>
          <w:color w:val="222222"/>
          <w:sz w:val="22"/>
          <w:szCs w:val="22"/>
        </w:rPr>
        <w:t xml:space="preserve">A working shelf-life decay estimate based on a simplified Arrhenius model</w:t>
      </w:r>
    </w:p>
    <w:p>
      <w:pPr>
        <w:pStyle w:val="ListParagraph"/>
        <w:numPr>
          <w:ilvl w:val="0"/>
          <w:numId w:val="2"/>
        </w:numPr>
        <w:spacing w:after="100" w:line="276"/>
        <w:jc w:val="both"/>
      </w:pPr>
      <w:r>
        <w:rPr>
          <w:rFonts w:ascii="Calibri" w:cs="Calibri" w:eastAsia="Calibri" w:hAnsi="Calibri"/>
          <w:color w:val="222222"/>
          <w:sz w:val="22"/>
          <w:szCs w:val="22"/>
        </w:rPr>
        <w:t xml:space="preserve">Real-time breach alerts delivered to a cloud dashboard</w:t>
      </w:r>
    </w:p>
    <w:p>
      <w:pPr>
        <w:pStyle w:val="ListParagraph"/>
        <w:numPr>
          <w:ilvl w:val="0"/>
          <w:numId w:val="2"/>
        </w:numPr>
        <w:spacing w:after="100" w:line="276"/>
        <w:jc w:val="both"/>
      </w:pPr>
      <w:r>
        <w:rPr>
          <w:rFonts w:ascii="Calibri" w:cs="Calibri" w:eastAsia="Calibri" w:hAnsi="Calibri"/>
          <w:color w:val="222222"/>
          <w:sz w:val="22"/>
          <w:szCs w:val="22"/>
        </w:rPr>
        <w:t xml:space="preserve">Resilient local data buffering with automatic resync after network interruptions</w:t>
      </w:r>
    </w:p>
    <w:p>
      <w:pPr>
        <w:pStyle w:val="ListParagraph"/>
        <w:numPr>
          <w:ilvl w:val="0"/>
          <w:numId w:val="2"/>
        </w:numPr>
        <w:spacing w:after="100" w:line="276"/>
        <w:jc w:val="both"/>
      </w:pPr>
      <w:r>
        <w:rPr>
          <w:rFonts w:ascii="Calibri" w:cs="Calibri" w:eastAsia="Calibri" w:hAnsi="Calibri"/>
          <w:color w:val="222222"/>
          <w:sz w:val="22"/>
          <w:szCs w:val="22"/>
        </w:rPr>
        <w:t xml:space="preserve">A web dashboard showing live environmental graphs</w:t>
      </w:r>
    </w:p>
    <w:p>
      <w:pPr>
        <w:pStyle w:val="ListParagraph"/>
        <w:numPr>
          <w:ilvl w:val="0"/>
          <w:numId w:val="2"/>
        </w:numPr>
        <w:spacing w:after="100" w:line="276"/>
        <w:jc w:val="both"/>
      </w:pPr>
      <w:r>
        <w:rPr>
          <w:rFonts w:ascii="Calibri" w:cs="Calibri" w:eastAsia="Calibri" w:hAnsi="Calibri"/>
          <w:color w:val="222222"/>
          <w:sz w:val="22"/>
          <w:szCs w:val="22"/>
        </w:rPr>
        <w:t xml:space="preserve">An auto-generated chain-of-custody compliance report per trip</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11. Innovation / Novelty</w:t>
      </w:r>
    </w:p>
    <w:p>
      <w:pPr>
        <w:spacing w:after="160" w:line="288"/>
        <w:jc w:val="both"/>
      </w:pPr>
      <w:r>
        <w:rPr>
          <w:rFonts w:ascii="Calibri" w:cs="Calibri" w:eastAsia="Calibri" w:hAnsi="Calibri"/>
          <w:color w:val="222222"/>
          <w:sz w:val="22"/>
          <w:szCs w:val="22"/>
        </w:rPr>
        <w:t xml:space="preserve">Most affordable cold-chain monitoring tools only log historical data for after-the-fact review, leaving operators to discover spoilage only once the shipment has already arrived damaged. This project combines low-cost sensing hardware with an on-edge, physics-based decay model to estimate spoilage risk in real time, rather than simply recording temperature history.</w:t>
      </w:r>
    </w:p>
    <w:p>
      <w:pPr>
        <w:spacing w:after="160" w:line="288"/>
        <w:jc w:val="both"/>
      </w:pPr>
      <w:r>
        <w:rPr>
          <w:rFonts w:ascii="Calibri" w:cs="Calibri" w:eastAsia="Calibri" w:hAnsi="Calibri"/>
          <w:color w:val="222222"/>
          <w:sz w:val="22"/>
          <w:szCs w:val="22"/>
        </w:rPr>
        <w:t xml:space="preserve">The core novelty lies in bringing predictive shelf-life estimation, resilient offline buffering, and automated compliance reporting together in a single low-cost, student-buildable device, rather than relying on expensive, closed-platform industrial trackers.</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12. Architecture</w:t>
      </w:r>
    </w:p>
    <w:p>
      <w:pPr>
        <w:pStyle w:val="Heading2"/>
        <w:spacing w:after="150" w:before="300"/>
      </w:pPr>
      <w:r>
        <w:rPr>
          <w:rFonts w:ascii="Cambria" w:cs="Cambria" w:eastAsia="Cambria" w:hAnsi="Cambria"/>
          <w:b/>
          <w:bCs/>
          <w:color w:val="2F6B34"/>
          <w:sz w:val="25"/>
          <w:szCs w:val="25"/>
        </w:rPr>
        <w:t xml:space="preserve">12.1  High-Level Architecture</w:t>
      </w:r>
    </w:p>
    <w:p>
      <w:pPr>
        <w:spacing w:after="160" w:line="288"/>
        <w:jc w:val="both"/>
      </w:pPr>
      <w:r>
        <w:rPr>
          <w:rFonts w:ascii="Calibri" w:cs="Calibri" w:eastAsia="Calibri" w:hAnsi="Calibri"/>
          <w:color w:val="222222"/>
          <w:sz w:val="22"/>
          <w:szCs w:val="22"/>
        </w:rPr>
        <w:t xml:space="preserve">The system follows a modular edge-to-cloud architecture designed to support continuous environmental sensing, resilient offline operation, and real-time predictive alerting.</w:t>
      </w:r>
    </w:p>
    <w:p>
      <w:pPr>
        <w:spacing w:after="160" w:line="288"/>
        <w:jc w:val="both"/>
      </w:pPr>
      <w:r>
        <w:rPr>
          <w:rFonts w:ascii="Calibri" w:cs="Calibri" w:eastAsia="Calibri" w:hAnsi="Calibri"/>
          <w:color w:val="222222"/>
          <w:sz w:val="22"/>
          <w:szCs w:val="22"/>
        </w:rPr>
        <w:t xml:space="preserve">At the edge, an ESP32 microcontroller reads data from the DS18B20 (container temperature), DHT22 (ambient temperature and humidity), and MQ-135 (VOC/air quality) sensors at a configurable interval. Readings are used to compute a running shelf-life decay estimate on-device. When WiFi connectivity is available, readings are transmitted directly to the cloud backend; when it is not, readings are buffered to a local SD card and synced automatically once connectivity is restored.</w:t>
      </w:r>
    </w:p>
    <w:p>
      <w:pPr>
        <w:spacing w:after="160" w:line="288"/>
        <w:jc w:val="both"/>
      </w:pPr>
      <w:r>
        <w:rPr>
          <w:rFonts w:ascii="Calibri" w:cs="Calibri" w:eastAsia="Calibri" w:hAnsi="Calibri"/>
          <w:color w:val="222222"/>
          <w:sz w:val="22"/>
          <w:szCs w:val="22"/>
        </w:rPr>
        <w:t xml:space="preserve">On the cloud side, a backend service ingests telemetry, stores it in a database, evaluates alert thresholds, and serves a web dashboard showing live temperature and humidity graphs. A reporting module compiles the full trip history into a chain-of-custody compliance report on request.</w:t>
      </w:r>
    </w:p>
    <w:p>
      <w:pPr>
        <w:spacing w:after="60" w:before="120"/>
        <w:jc w:val="center"/>
      </w:pPr>
      <w:r>
        <w:rPr>
          <w:rFonts w:ascii="Calibri" w:cs="Calibri" w:eastAsia="Calibri" w:hAnsi="Calibri"/>
          <w:i/>
          <w:iCs/>
          <w:color w:val="555555"/>
          <w:sz w:val="18"/>
          <w:szCs w:val="18"/>
        </w:rPr>
        <w:t xml:space="preserve">[Diagram image not available]</w:t>
      </w:r>
    </w:p>
    <w:p>
      <w:pPr>
        <w:spacing w:after="300" w:before="120"/>
        <w:jc w:val="center"/>
      </w:pPr>
      <w:r>
        <w:rPr>
          <w:rFonts w:ascii="Calibri" w:cs="Calibri" w:eastAsia="Calibri" w:hAnsi="Calibri"/>
          <w:i/>
          <w:iCs/>
          <w:color w:val="555555"/>
          <w:sz w:val="19"/>
          <w:szCs w:val="19"/>
        </w:rPr>
        <w:t xml:space="preserve">Figure 12.1: System Block Diagram (end-to-end data flow)</w:t>
      </w:r>
    </w:p>
    <w:p>
      <w:pPr>
        <w:pStyle w:val="Heading2"/>
        <w:spacing w:after="150" w:before="300"/>
      </w:pPr>
      <w:r>
        <w:rPr>
          <w:rFonts w:ascii="Cambria" w:cs="Cambria" w:eastAsia="Cambria" w:hAnsi="Cambria"/>
          <w:b/>
          <w:bCs/>
          <w:color w:val="2F6B34"/>
          <w:sz w:val="25"/>
          <w:szCs w:val="25"/>
        </w:rPr>
        <w:t xml:space="preserve">12.2  Technology Stack</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4000"/>
        <w:gridCol w:w="5900"/>
      </w:tblGrid>
      <w:tr>
        <w:trPr>
          <w:tblHeader/>
        </w:trPr>
        <w:tc>
          <w:tcPr>
            <w:tcW w:type="dxa" w:w="40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Category</w:t>
            </w:r>
          </w:p>
        </w:tc>
        <w:tc>
          <w:tcPr>
            <w:tcW w:type="dxa" w:w="5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Technology</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Microcontroller Firmware</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Arduino C++ (ESP32)</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Connectivity</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WiFi (ESP32 built-in)</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Local Buffering</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SD card / EEPROM</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Backend</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Node.js / Express</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Frontend Dashboard</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React</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Database</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MySQL / SQLite</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Decay Modelling</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Simplified Arrhenius kinetic model</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Reporting</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PDF/CSV export</w:t>
            </w:r>
          </w:p>
        </w:tc>
      </w:tr>
    </w:tbl>
    <w:p>
      <w:pPr>
        <w:pStyle w:val="Heading2"/>
        <w:spacing w:after="150" w:before="300"/>
      </w:pPr>
      <w:r>
        <w:rPr>
          <w:rFonts w:ascii="Cambria" w:cs="Cambria" w:eastAsia="Cambria" w:hAnsi="Cambria"/>
          <w:b/>
          <w:bCs/>
          <w:color w:val="2F6B34"/>
          <w:sz w:val="25"/>
          <w:szCs w:val="25"/>
        </w:rPr>
        <w:t xml:space="preserve">12.3  Proposed Hardware Components</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4000"/>
        <w:gridCol w:w="5900"/>
      </w:tblGrid>
      <w:tr>
        <w:trPr>
          <w:tblHeader/>
        </w:trPr>
        <w:tc>
          <w:tcPr>
            <w:tcW w:type="dxa" w:w="40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Component</w:t>
            </w:r>
          </w:p>
        </w:tc>
        <w:tc>
          <w:tcPr>
            <w:tcW w:type="dxa" w:w="5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Purpose</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ESP32 DevKit</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Main microcontroller: WiFi, ADC, sleep modes</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DS18B20</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Precise container temperature sensing</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DHT22</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Ambient temperature and humidity sensing</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MQ-135</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VOC / spoilage gas detection</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MicroSD Card Module</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Local data buffering during network interruptions</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TP4056 Module</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Li-ion battery charging and protection</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18650 Li-ion Battery</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Portable power source</w:t>
            </w:r>
          </w:p>
        </w:tc>
      </w:tr>
      <w:tr>
        <w:tc>
          <w:tcPr>
            <w:tcW w:type="dxa" w:w="4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Boost Converter</w:t>
            </w:r>
          </w:p>
        </w:tc>
        <w:tc>
          <w:tcPr>
            <w:tcW w:type="dxa" w:w="5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Stable regulated voltage supply</w:t>
            </w:r>
          </w:p>
        </w:tc>
      </w:tr>
      <w:tr>
        <w:tc>
          <w:tcPr>
            <w:tcW w:type="dxa" w:w="4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Status LED / Buzzer</w:t>
            </w:r>
          </w:p>
        </w:tc>
        <w:tc>
          <w:tcPr>
            <w:tcW w:type="dxa" w:w="5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Local visual and audible alert</w:t>
            </w:r>
          </w:p>
        </w:tc>
      </w:tr>
    </w:tbl>
    <w:p>
      <w:pPr>
        <w:pStyle w:val="Heading2"/>
        <w:spacing w:after="150" w:before="300"/>
      </w:pPr>
      <w:r>
        <w:rPr>
          <w:rFonts w:ascii="Cambria" w:cs="Cambria" w:eastAsia="Cambria" w:hAnsi="Cambria"/>
          <w:b/>
          <w:bCs/>
          <w:color w:val="2F6B34"/>
          <w:sz w:val="25"/>
          <w:szCs w:val="25"/>
        </w:rPr>
        <w:t xml:space="preserve">12.4  Estimated Hardware Cost (Prototype BOM)</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4900"/>
        <w:gridCol w:w="2000"/>
        <w:gridCol w:w="3000"/>
      </w:tblGrid>
      <w:tr>
        <w:trPr>
          <w:tblHeader/>
        </w:trPr>
        <w:tc>
          <w:tcPr>
            <w:tcW w:type="dxa" w:w="4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Component</w:t>
            </w:r>
          </w:p>
        </w:tc>
        <w:tc>
          <w:tcPr>
            <w:tcW w:type="dxa" w:w="20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Approx. Qty</w:t>
            </w:r>
          </w:p>
        </w:tc>
        <w:tc>
          <w:tcPr>
            <w:tcW w:type="dxa" w:w="30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Approx. Cost (INR)</w:t>
            </w:r>
          </w:p>
        </w:tc>
      </w:tr>
      <w:tr>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ESP32 DevKit</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350 - 500</w:t>
            </w:r>
          </w:p>
        </w:tc>
      </w:tr>
      <w:tr>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DS18B20</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100 - 150</w:t>
            </w:r>
          </w:p>
        </w:tc>
      </w:tr>
      <w:tr>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DHT22</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250 - 350</w:t>
            </w:r>
          </w:p>
        </w:tc>
      </w:tr>
      <w:tr>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MQ-135</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150 - 250</w:t>
            </w:r>
          </w:p>
        </w:tc>
      </w:tr>
      <w:tr>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MicroSD Card Module + Card</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200 - 300</w:t>
            </w:r>
          </w:p>
        </w:tc>
      </w:tr>
      <w:tr>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TP4056 Module</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50 - 100</w:t>
            </w:r>
          </w:p>
        </w:tc>
      </w:tr>
      <w:tr>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18650 Li-ion Battery</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2</w:t>
            </w:r>
          </w:p>
        </w:tc>
        <w:tc>
          <w:tcPr>
            <w:tcW w:type="dxa" w:w="3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300 - 500</w:t>
            </w:r>
          </w:p>
        </w:tc>
      </w:tr>
      <w:tr>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Boost Converter</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w:t>
            </w:r>
          </w:p>
        </w:tc>
        <w:tc>
          <w:tcPr>
            <w:tcW w:type="dxa" w:w="3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80 - 150</w:t>
            </w:r>
          </w:p>
        </w:tc>
      </w:tr>
      <w:tr>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LED / Buzzer / Resistors</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t>
            </w:r>
          </w:p>
        </w:tc>
        <w:tc>
          <w:tcPr>
            <w:tcW w:type="dxa" w:w="3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50 - 100</w:t>
            </w:r>
          </w:p>
        </w:tc>
      </w:tr>
      <w:tr>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Breadboard, Enclosure, Wires</w:t>
            </w:r>
          </w:p>
        </w:tc>
        <w:tc>
          <w:tcPr>
            <w:tcW w:type="dxa" w:w="2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t>
            </w:r>
          </w:p>
        </w:tc>
        <w:tc>
          <w:tcPr>
            <w:tcW w:type="dxa" w:w="30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300 - 500</w:t>
            </w:r>
          </w:p>
        </w:tc>
      </w:tr>
      <w:tr>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Total (approx.)</w:t>
            </w:r>
          </w:p>
        </w:tc>
        <w:tc>
          <w:tcPr>
            <w:tcW w:type="dxa" w:w="2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t>
            </w:r>
          </w:p>
        </w:tc>
        <w:tc>
          <w:tcPr>
            <w:tcW w:type="dxa" w:w="30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1,800 - 2,900</w:t>
            </w:r>
          </w:p>
        </w:tc>
      </w:tr>
    </w:tbl>
    <w:p>
      <w:pPr>
        <w:spacing w:after="120" w:before="120"/>
        <w:jc w:val="both"/>
      </w:pPr>
      <w:r>
        <w:rPr>
          <w:rFonts w:ascii="Calibri" w:cs="Calibri" w:eastAsia="Calibri" w:hAnsi="Calibri"/>
          <w:i/>
          <w:iCs/>
          <w:color w:val="555555"/>
          <w:sz w:val="20"/>
          <w:szCs w:val="20"/>
        </w:rPr>
        <w:t xml:space="preserve">Figures are indicative and will be refined once components are finalised; this keeps the prototype well within a typical academic mini-project budget.</w:t>
      </w:r>
    </w:p>
    <w:p>
      <w:pPr>
        <w:pStyle w:val="Heading2"/>
        <w:spacing w:after="150" w:before="300"/>
      </w:pPr>
      <w:r>
        <w:rPr>
          <w:rFonts w:ascii="Cambria" w:cs="Cambria" w:eastAsia="Cambria" w:hAnsi="Cambria"/>
          <w:b/>
          <w:bCs/>
          <w:color w:val="2F6B34"/>
          <w:sz w:val="25"/>
          <w:szCs w:val="25"/>
        </w:rPr>
        <w:t xml:space="preserve">12.5  Firmware and Decay-Model Workflow</w:t>
      </w:r>
    </w:p>
    <w:p>
      <w:pPr>
        <w:spacing w:after="160" w:line="288"/>
        <w:jc w:val="both"/>
      </w:pPr>
      <w:r>
        <w:rPr>
          <w:rFonts w:ascii="Calibri" w:cs="Calibri" w:eastAsia="Calibri" w:hAnsi="Calibri"/>
          <w:color w:val="222222"/>
          <w:sz w:val="22"/>
          <w:szCs w:val="22"/>
        </w:rPr>
        <w:t xml:space="preserve">The end-to-end firmware workflow proceeds as follows: the node wakes from sleep, reads all three sensors, appends the reading to the running decay calculation, checks the result against configured thresholds, attempts transmission over WiFi (falling back to local buffering if unavailable), and returns to low-power sleep until the next logging interval.</w:t>
      </w:r>
    </w:p>
    <w:p>
      <w:pPr>
        <w:spacing w:after="60" w:before="120"/>
        <w:jc w:val="center"/>
      </w:pPr>
      <w:r>
        <w:rPr>
          <w:rFonts w:ascii="Calibri" w:cs="Calibri" w:eastAsia="Calibri" w:hAnsi="Calibri"/>
          <w:i/>
          <w:iCs/>
          <w:color w:val="555555"/>
          <w:sz w:val="18"/>
          <w:szCs w:val="18"/>
        </w:rPr>
        <w:t xml:space="preserve">[Diagram image not available]</w:t>
      </w:r>
    </w:p>
    <w:p>
      <w:pPr>
        <w:spacing w:after="300" w:before="120"/>
        <w:jc w:val="center"/>
      </w:pPr>
      <w:r>
        <w:rPr>
          <w:rFonts w:ascii="Calibri" w:cs="Calibri" w:eastAsia="Calibri" w:hAnsi="Calibri"/>
          <w:i/>
          <w:iCs/>
          <w:color w:val="555555"/>
          <w:sz w:val="19"/>
          <w:szCs w:val="19"/>
        </w:rPr>
        <w:t xml:space="preserve">Figure 12.5: Firmware and Decay-Model Workflow Flowchart</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13. Data Design</w:t>
      </w:r>
    </w:p>
    <w:p>
      <w:pPr>
        <w:pStyle w:val="Heading2"/>
        <w:spacing w:after="150" w:before="300"/>
      </w:pPr>
      <w:r>
        <w:rPr>
          <w:rFonts w:ascii="Cambria" w:cs="Cambria" w:eastAsia="Cambria" w:hAnsi="Cambria"/>
          <w:b/>
          <w:bCs/>
          <w:color w:val="2F6B34"/>
          <w:sz w:val="25"/>
          <w:szCs w:val="25"/>
        </w:rPr>
        <w:t xml:space="preserve">13.1  Core Entities</w:t>
      </w:r>
    </w:p>
    <w:p>
      <w:pPr>
        <w:pStyle w:val="ListParagraph"/>
        <w:numPr>
          <w:ilvl w:val="0"/>
          <w:numId w:val="2"/>
        </w:numPr>
        <w:spacing w:after="100" w:line="276"/>
        <w:jc w:val="both"/>
      </w:pPr>
      <w:r>
        <w:rPr>
          <w:rFonts w:ascii="Calibri" w:cs="Calibri" w:eastAsia="Calibri" w:hAnsi="Calibri"/>
          <w:color w:val="222222"/>
          <w:sz w:val="22"/>
          <w:szCs w:val="22"/>
        </w:rPr>
        <w:t xml:space="preserve">SensorNode</w:t>
      </w:r>
    </w:p>
    <w:p>
      <w:pPr>
        <w:pStyle w:val="ListParagraph"/>
        <w:numPr>
          <w:ilvl w:val="0"/>
          <w:numId w:val="2"/>
        </w:numPr>
        <w:spacing w:after="100" w:line="276"/>
        <w:jc w:val="both"/>
      </w:pPr>
      <w:r>
        <w:rPr>
          <w:rFonts w:ascii="Calibri" w:cs="Calibri" w:eastAsia="Calibri" w:hAnsi="Calibri"/>
          <w:color w:val="222222"/>
          <w:sz w:val="22"/>
          <w:szCs w:val="22"/>
        </w:rPr>
        <w:t xml:space="preserve">Trip</w:t>
      </w:r>
    </w:p>
    <w:p>
      <w:pPr>
        <w:pStyle w:val="ListParagraph"/>
        <w:numPr>
          <w:ilvl w:val="0"/>
          <w:numId w:val="2"/>
        </w:numPr>
        <w:spacing w:after="100" w:line="276"/>
        <w:jc w:val="both"/>
      </w:pPr>
      <w:r>
        <w:rPr>
          <w:rFonts w:ascii="Calibri" w:cs="Calibri" w:eastAsia="Calibri" w:hAnsi="Calibri"/>
          <w:color w:val="222222"/>
          <w:sz w:val="22"/>
          <w:szCs w:val="22"/>
        </w:rPr>
        <w:t xml:space="preserve">Reading</w:t>
      </w:r>
    </w:p>
    <w:p>
      <w:pPr>
        <w:pStyle w:val="ListParagraph"/>
        <w:numPr>
          <w:ilvl w:val="0"/>
          <w:numId w:val="2"/>
        </w:numPr>
        <w:spacing w:after="100" w:line="276"/>
        <w:jc w:val="both"/>
      </w:pPr>
      <w:r>
        <w:rPr>
          <w:rFonts w:ascii="Calibri" w:cs="Calibri" w:eastAsia="Calibri" w:hAnsi="Calibri"/>
          <w:color w:val="222222"/>
          <w:sz w:val="22"/>
          <w:szCs w:val="22"/>
        </w:rPr>
        <w:t xml:space="preserve">AlertEvent</w:t>
      </w:r>
    </w:p>
    <w:p>
      <w:pPr>
        <w:pStyle w:val="ListParagraph"/>
        <w:numPr>
          <w:ilvl w:val="0"/>
          <w:numId w:val="2"/>
        </w:numPr>
        <w:spacing w:after="100" w:line="276"/>
        <w:jc w:val="both"/>
      </w:pPr>
      <w:r>
        <w:rPr>
          <w:rFonts w:ascii="Calibri" w:cs="Calibri" w:eastAsia="Calibri" w:hAnsi="Calibri"/>
          <w:color w:val="222222"/>
          <w:sz w:val="22"/>
          <w:szCs w:val="22"/>
        </w:rPr>
        <w:t xml:space="preserve">ComplianceReport</w:t>
      </w:r>
    </w:p>
    <w:p>
      <w:pPr>
        <w:spacing w:after="160" w:line="288"/>
        <w:jc w:val="both"/>
      </w:pPr>
      <w:r>
        <w:rPr>
          <w:rFonts w:ascii="Calibri" w:cs="Calibri" w:eastAsia="Calibri" w:hAnsi="Calibri"/>
          <w:color w:val="222222"/>
          <w:sz w:val="22"/>
          <w:szCs w:val="22"/>
        </w:rPr>
        <w:t xml:space="preserve">Trip and reading data are stored digitally with timestamps to support later review and compliance reporting.</w:t>
      </w:r>
    </w:p>
    <w:p>
      <w:pPr>
        <w:pStyle w:val="Heading2"/>
        <w:spacing w:after="150" w:before="300"/>
      </w:pPr>
      <w:r>
        <w:rPr>
          <w:rFonts w:ascii="Cambria" w:cs="Cambria" w:eastAsia="Cambria" w:hAnsi="Cambria"/>
          <w:b/>
          <w:bCs/>
          <w:color w:val="2F6B34"/>
          <w:sz w:val="25"/>
          <w:szCs w:val="25"/>
        </w:rPr>
        <w:t xml:space="preserve">13.2  Data Dictionary</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1800"/>
        <w:gridCol w:w="1800"/>
        <w:gridCol w:w="1400"/>
        <w:gridCol w:w="4900"/>
      </w:tblGrid>
      <w:tr>
        <w:trPr>
          <w:tblHeader/>
        </w:trPr>
        <w:tc>
          <w:tcPr>
            <w:tcW w:type="dxa" w:w="18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Entity</w:t>
            </w:r>
          </w:p>
        </w:tc>
        <w:tc>
          <w:tcPr>
            <w:tcW w:type="dxa" w:w="18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Field</w:t>
            </w:r>
          </w:p>
        </w:tc>
        <w:tc>
          <w:tcPr>
            <w:tcW w:type="dxa" w:w="1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Type</w:t>
            </w:r>
          </w:p>
        </w:tc>
        <w:tc>
          <w:tcPr>
            <w:tcW w:type="dxa" w:w="4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Notes</w:t>
            </w:r>
          </w:p>
        </w:tc>
      </w:tr>
      <w:tr>
        <w:tc>
          <w:tcPr>
            <w:tcW w:type="dxa" w:w="18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SensorNode</w:t>
            </w:r>
          </w:p>
        </w:tc>
        <w:tc>
          <w:tcPr>
            <w:tcW w:type="dxa" w:w="18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nodeId</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UUID</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Primary key</w:t>
            </w:r>
          </w:p>
        </w:tc>
      </w:tr>
      <w:tr>
        <w:tc>
          <w:tcPr>
            <w:tcW w:type="dxa" w:w="18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Trip</w:t>
            </w:r>
          </w:p>
        </w:tc>
        <w:tc>
          <w:tcPr>
            <w:tcW w:type="dxa" w:w="18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status</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Enum</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Active / Completed</w:t>
            </w:r>
          </w:p>
        </w:tc>
      </w:tr>
      <w:tr>
        <w:tc>
          <w:tcPr>
            <w:tcW w:type="dxa" w:w="18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Reading</w:t>
            </w:r>
          </w:p>
        </w:tc>
        <w:tc>
          <w:tcPr>
            <w:tcW w:type="dxa" w:w="18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temperature</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Decimal</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DS18B20 reading, degrees Celsius</w:t>
            </w:r>
          </w:p>
        </w:tc>
      </w:tr>
      <w:tr>
        <w:tc>
          <w:tcPr>
            <w:tcW w:type="dxa" w:w="18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Reading</w:t>
            </w:r>
          </w:p>
        </w:tc>
        <w:tc>
          <w:tcPr>
            <w:tcW w:type="dxa" w:w="18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humidity</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Decimal</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DHT22 reading, percent</w:t>
            </w:r>
          </w:p>
        </w:tc>
      </w:tr>
      <w:tr>
        <w:tc>
          <w:tcPr>
            <w:tcW w:type="dxa" w:w="18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Reading</w:t>
            </w:r>
          </w:p>
        </w:tc>
        <w:tc>
          <w:tcPr>
            <w:tcW w:type="dxa" w:w="18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voc</w:t>
            </w:r>
          </w:p>
        </w:tc>
        <w:tc>
          <w:tcPr>
            <w:tcW w:type="dxa" w:w="1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Integer</w:t>
            </w:r>
          </w:p>
        </w:tc>
        <w:tc>
          <w:tcPr>
            <w:tcW w:type="dxa" w:w="4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MQ-135 raw ADC value</w:t>
            </w:r>
          </w:p>
        </w:tc>
      </w:tr>
      <w:tr>
        <w:tc>
          <w:tcPr>
            <w:tcW w:type="dxa" w:w="18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AlertEvent</w:t>
            </w:r>
          </w:p>
        </w:tc>
        <w:tc>
          <w:tcPr>
            <w:tcW w:type="dxa" w:w="18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severity</w:t>
            </w:r>
          </w:p>
        </w:tc>
        <w:tc>
          <w:tcPr>
            <w:tcW w:type="dxa" w:w="1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Enum</w:t>
            </w:r>
          </w:p>
        </w:tc>
        <w:tc>
          <w:tcPr>
            <w:tcW w:type="dxa" w:w="4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Low / Medium / High</w:t>
            </w:r>
          </w:p>
        </w:tc>
      </w:tr>
    </w:tbl>
    <w:p>
      <w:pPr>
        <w:pStyle w:val="Heading2"/>
        <w:spacing w:after="150" w:before="300"/>
      </w:pPr>
      <w:r>
        <w:rPr>
          <w:rFonts w:ascii="Cambria" w:cs="Cambria" w:eastAsia="Cambria" w:hAnsi="Cambria"/>
          <w:b/>
          <w:bCs/>
          <w:color w:val="2F6B34"/>
          <w:sz w:val="25"/>
          <w:szCs w:val="25"/>
        </w:rPr>
        <w:t xml:space="preserve">13.3  Privacy, Retention, Backup, and DR</w:t>
      </w:r>
    </w:p>
    <w:p>
      <w:pPr>
        <w:pStyle w:val="ListParagraph"/>
        <w:numPr>
          <w:ilvl w:val="0"/>
          <w:numId w:val="2"/>
        </w:numPr>
        <w:spacing w:after="100" w:line="276"/>
        <w:jc w:val="both"/>
      </w:pPr>
      <w:r>
        <w:rPr>
          <w:rFonts w:ascii="Calibri" w:cs="Calibri" w:eastAsia="Calibri" w:hAnsi="Calibri"/>
          <w:color w:val="222222"/>
          <w:sz w:val="22"/>
          <w:szCs w:val="22"/>
        </w:rPr>
        <w:t xml:space="preserve">No personally identifiable information is required for sensor readings themselves</w:t>
      </w:r>
    </w:p>
    <w:p>
      <w:pPr>
        <w:pStyle w:val="ListParagraph"/>
        <w:numPr>
          <w:ilvl w:val="0"/>
          <w:numId w:val="2"/>
        </w:numPr>
        <w:spacing w:after="100" w:line="276"/>
        <w:jc w:val="both"/>
      </w:pPr>
      <w:r>
        <w:rPr>
          <w:rFonts w:ascii="Calibri" w:cs="Calibri" w:eastAsia="Calibri" w:hAnsi="Calibri"/>
          <w:color w:val="222222"/>
          <w:sz w:val="22"/>
          <w:szCs w:val="22"/>
        </w:rPr>
        <w:t xml:space="preserve">Trip and alert data retained for the duration of the academic project; archival policy to be defined for production use</w:t>
      </w:r>
    </w:p>
    <w:p>
      <w:pPr>
        <w:pStyle w:val="ListParagraph"/>
        <w:numPr>
          <w:ilvl w:val="0"/>
          <w:numId w:val="2"/>
        </w:numPr>
        <w:spacing w:after="100" w:line="276"/>
        <w:jc w:val="both"/>
      </w:pPr>
      <w:r>
        <w:rPr>
          <w:rFonts w:ascii="Calibri" w:cs="Calibri" w:eastAsia="Calibri" w:hAnsi="Calibri"/>
          <w:color w:val="222222"/>
          <w:sz w:val="22"/>
          <w:szCs w:val="22"/>
        </w:rPr>
        <w:t xml:space="preserve">Nightly backups recommended once deployed beyond prototype stage</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14. Technical Workflow Diagrams</w:t>
      </w:r>
    </w:p>
    <w:p>
      <w:pPr>
        <w:spacing w:after="160" w:line="288"/>
        <w:jc w:val="both"/>
      </w:pPr>
      <w:r>
        <w:rPr>
          <w:rFonts w:ascii="Calibri" w:cs="Calibri" w:eastAsia="Calibri" w:hAnsi="Calibri"/>
          <w:color w:val="222222"/>
          <w:sz w:val="22"/>
          <w:szCs w:val="22"/>
        </w:rPr>
        <w:t xml:space="preserve">The following diagrams are recommended for inclusion in the final report and presentation, to explain system behaviour to the panel:</w:t>
      </w:r>
    </w:p>
    <w:p>
      <w:pPr>
        <w:pStyle w:val="ListParagraph"/>
        <w:numPr>
          <w:ilvl w:val="0"/>
          <w:numId w:val="2"/>
        </w:numPr>
        <w:spacing w:after="100" w:line="276"/>
        <w:jc w:val="both"/>
      </w:pPr>
      <w:r>
        <w:rPr>
          <w:rFonts w:ascii="Calibri" w:cs="Calibri" w:eastAsia="Calibri" w:hAnsi="Calibri"/>
          <w:color w:val="222222"/>
          <w:sz w:val="22"/>
          <w:szCs w:val="22"/>
        </w:rPr>
        <w:t xml:space="preserve">System Block Diagram (end-to-end data flow from sensor to dashboard)</w:t>
      </w:r>
    </w:p>
    <w:p>
      <w:pPr>
        <w:pStyle w:val="ListParagraph"/>
        <w:numPr>
          <w:ilvl w:val="0"/>
          <w:numId w:val="2"/>
        </w:numPr>
        <w:spacing w:after="100" w:line="276"/>
        <w:jc w:val="both"/>
      </w:pPr>
      <w:r>
        <w:rPr>
          <w:rFonts w:ascii="Calibri" w:cs="Calibri" w:eastAsia="Calibri" w:hAnsi="Calibri"/>
          <w:color w:val="222222"/>
          <w:sz w:val="22"/>
          <w:szCs w:val="22"/>
        </w:rPr>
        <w:t xml:space="preserve">Firmware State Transition Diagram (sleep, sensing, transmit/buffer, alert)</w:t>
      </w:r>
    </w:p>
    <w:p>
      <w:pPr>
        <w:pStyle w:val="ListParagraph"/>
        <w:numPr>
          <w:ilvl w:val="0"/>
          <w:numId w:val="2"/>
        </w:numPr>
        <w:spacing w:after="100" w:line="276"/>
        <w:jc w:val="both"/>
      </w:pPr>
      <w:r>
        <w:rPr>
          <w:rFonts w:ascii="Calibri" w:cs="Calibri" w:eastAsia="Calibri" w:hAnsi="Calibri"/>
          <w:color w:val="222222"/>
          <w:sz w:val="22"/>
          <w:szCs w:val="22"/>
        </w:rPr>
        <w:t xml:space="preserve">Use Case Diagram (Logistics Manager, Auditor, Sensor Node)</w:t>
      </w:r>
    </w:p>
    <w:p>
      <w:pPr>
        <w:pStyle w:val="ListParagraph"/>
        <w:numPr>
          <w:ilvl w:val="0"/>
          <w:numId w:val="2"/>
        </w:numPr>
        <w:spacing w:after="100" w:line="276"/>
        <w:jc w:val="both"/>
      </w:pPr>
      <w:r>
        <w:rPr>
          <w:rFonts w:ascii="Calibri" w:cs="Calibri" w:eastAsia="Calibri" w:hAnsi="Calibri"/>
          <w:color w:val="222222"/>
          <w:sz w:val="22"/>
          <w:szCs w:val="22"/>
        </w:rPr>
        <w:t xml:space="preserve">Data Flow Diagram (Level 0) — shown below</w:t>
      </w:r>
    </w:p>
    <w:p>
      <w:pPr>
        <w:pStyle w:val="ListParagraph"/>
        <w:numPr>
          <w:ilvl w:val="0"/>
          <w:numId w:val="2"/>
        </w:numPr>
        <w:spacing w:after="100" w:line="276"/>
        <w:jc w:val="both"/>
      </w:pPr>
      <w:r>
        <w:rPr>
          <w:rFonts w:ascii="Calibri" w:cs="Calibri" w:eastAsia="Calibri" w:hAnsi="Calibri"/>
          <w:color w:val="222222"/>
          <w:sz w:val="22"/>
          <w:szCs w:val="22"/>
        </w:rPr>
        <w:t xml:space="preserve">Entity Relationship Diagram (ERD)</w:t>
      </w:r>
    </w:p>
    <w:p>
      <w:pPr>
        <w:spacing w:after="60" w:before="120"/>
        <w:jc w:val="center"/>
      </w:pPr>
      <w:r>
        <w:rPr>
          <w:rFonts w:ascii="Calibri" w:cs="Calibri" w:eastAsia="Calibri" w:hAnsi="Calibri"/>
          <w:i/>
          <w:iCs/>
          <w:color w:val="555555"/>
          <w:sz w:val="18"/>
          <w:szCs w:val="18"/>
        </w:rPr>
        <w:t xml:space="preserve">[Diagram image not available]</w:t>
      </w:r>
    </w:p>
    <w:p>
      <w:pPr>
        <w:spacing w:after="300" w:before="120"/>
        <w:jc w:val="center"/>
      </w:pPr>
      <w:r>
        <w:rPr>
          <w:rFonts w:ascii="Calibri" w:cs="Calibri" w:eastAsia="Calibri" w:hAnsi="Calibri"/>
          <w:i/>
          <w:iCs/>
          <w:color w:val="555555"/>
          <w:sz w:val="19"/>
          <w:szCs w:val="19"/>
        </w:rPr>
        <w:t xml:space="preserve">Figure 14: Data Flow Diagram (Level 0)</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15. Quality: NFRs and Testing</w:t>
      </w:r>
    </w:p>
    <w:p>
      <w:pPr>
        <w:pStyle w:val="Heading2"/>
        <w:spacing w:after="150" w:before="300"/>
      </w:pPr>
      <w:r>
        <w:rPr>
          <w:rFonts w:ascii="Cambria" w:cs="Cambria" w:eastAsia="Cambria" w:hAnsi="Cambria"/>
          <w:b/>
          <w:bCs/>
          <w:color w:val="2F6B34"/>
          <w:sz w:val="25"/>
          <w:szCs w:val="25"/>
        </w:rPr>
        <w:t xml:space="preserve">15.1  Non-functional Requirements</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2600"/>
        <w:gridCol w:w="2900"/>
        <w:gridCol w:w="4400"/>
      </w:tblGrid>
      <w:tr>
        <w:trPr>
          <w:tblHeader/>
        </w:trPr>
        <w:tc>
          <w:tcPr>
            <w:tcW w:type="dxa" w:w="26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Metric</w:t>
            </w:r>
          </w:p>
        </w:tc>
        <w:tc>
          <w:tcPr>
            <w:tcW w:type="dxa" w:w="2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Target</w:t>
            </w:r>
          </w:p>
        </w:tc>
        <w:tc>
          <w:tcPr>
            <w:tcW w:type="dxa" w:w="44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Measurement</w:t>
            </w:r>
          </w:p>
        </w:tc>
      </w:tr>
      <w:tr>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Alert latency</w:t>
            </w:r>
          </w:p>
        </w:tc>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10 seconds or less</w:t>
            </w:r>
          </w:p>
        </w:tc>
        <w:tc>
          <w:tcPr>
            <w:tcW w:type="dxa" w:w="4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Firmware and backend timestamp difference</w:t>
            </w:r>
          </w:p>
        </w:tc>
      </w:tr>
      <w:tr>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Temperature accuracy</w:t>
            </w:r>
          </w:p>
        </w:tc>
        <w:tc>
          <w:tcPr>
            <w:tcW w:type="dxa" w:w="2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Within 0.5 degrees Celsius</w:t>
            </w:r>
          </w:p>
        </w:tc>
        <w:tc>
          <w:tcPr>
            <w:tcW w:type="dxa" w:w="4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Bench test against a reference thermometer</w:t>
            </w:r>
          </w:p>
        </w:tc>
      </w:tr>
      <w:tr>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Battery life</w:t>
            </w:r>
          </w:p>
        </w:tc>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3 days or more continuous</w:t>
            </w:r>
          </w:p>
        </w:tc>
        <w:tc>
          <w:tcPr>
            <w:tcW w:type="dxa" w:w="4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Bench discharge test</w:t>
            </w:r>
          </w:p>
        </w:tc>
      </w:tr>
      <w:tr>
        <w:tc>
          <w:tcPr>
            <w:tcW w:type="dxa" w:w="26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Data integrity</w:t>
            </w:r>
          </w:p>
        </w:tc>
        <w:tc>
          <w:tcPr>
            <w:tcW w:type="dxa" w:w="2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100 percent buffer recovery</w:t>
            </w:r>
          </w:p>
        </w:tc>
        <w:tc>
          <w:tcPr>
            <w:tcW w:type="dxa" w:w="44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Simulated network interruption test</w:t>
            </w:r>
          </w:p>
        </w:tc>
      </w:tr>
      <w:tr>
        <w:tc>
          <w:tcPr>
            <w:tcW w:type="dxa" w:w="2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Dashboard availability</w:t>
            </w:r>
          </w:p>
        </w:tc>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99 percent or higher</w:t>
            </w:r>
          </w:p>
        </w:tc>
        <w:tc>
          <w:tcPr>
            <w:tcW w:type="dxa" w:w="44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Uptime monitor</w:t>
            </w:r>
          </w:p>
        </w:tc>
      </w:tr>
    </w:tbl>
    <w:p>
      <w:pPr>
        <w:pStyle w:val="Heading2"/>
        <w:spacing w:after="150" w:before="300"/>
      </w:pPr>
      <w:r>
        <w:rPr>
          <w:rFonts w:ascii="Cambria" w:cs="Cambria" w:eastAsia="Cambria" w:hAnsi="Cambria"/>
          <w:b/>
          <w:bCs/>
          <w:color w:val="2F6B34"/>
          <w:sz w:val="25"/>
          <w:szCs w:val="25"/>
        </w:rPr>
        <w:t xml:space="preserve">15.2  Test Plan</w:t>
      </w:r>
    </w:p>
    <w:tbl>
      <w:tblPr>
        <w:tblW w:type="dxa" w:w="9900"/>
        <w:tblBorders>
          <w:top w:val="single" w:color="B9C7B7" w:sz="4"/>
          <w:left w:val="single" w:color="B9C7B7" w:sz="4"/>
          <w:bottom w:val="single" w:color="B9C7B7" w:sz="4"/>
          <w:right w:val="single" w:color="B9C7B7" w:sz="4"/>
          <w:insideH w:val="single" w:color="B9C7B7" w:sz="4"/>
          <w:insideV w:val="single" w:color="B9C7B7" w:sz="4"/>
        </w:tblBorders>
      </w:tblPr>
      <w:tblGrid>
        <w:gridCol w:w="2100"/>
        <w:gridCol w:w="1700"/>
        <w:gridCol w:w="1900"/>
        <w:gridCol w:w="4200"/>
      </w:tblGrid>
      <w:tr>
        <w:trPr>
          <w:tblHeader/>
        </w:trPr>
        <w:tc>
          <w:tcPr>
            <w:tcW w:type="dxa" w:w="21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Area</w:t>
            </w:r>
          </w:p>
        </w:tc>
        <w:tc>
          <w:tcPr>
            <w:tcW w:type="dxa" w:w="17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Type</w:t>
            </w:r>
          </w:p>
        </w:tc>
        <w:tc>
          <w:tcPr>
            <w:tcW w:type="dxa" w:w="1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Owner</w:t>
            </w:r>
          </w:p>
        </w:tc>
        <w:tc>
          <w:tcPr>
            <w:tcW w:type="dxa" w:w="42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Approach</w:t>
            </w:r>
          </w:p>
        </w:tc>
      </w:tr>
      <w:tr>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Firmware &amp; Sensing</w:t>
            </w:r>
          </w:p>
        </w:tc>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Bench testing</w:t>
            </w:r>
          </w:p>
        </w:tc>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4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Multimeter and serial log verification of readings and power draw</w:t>
            </w:r>
          </w:p>
        </w:tc>
      </w:tr>
      <w:tr>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Connectivity &amp; Buffering</w:t>
            </w:r>
          </w:p>
        </w:tc>
        <w:tc>
          <w:tcPr>
            <w:tcW w:type="dxa" w:w="17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Field testing</w:t>
            </w:r>
          </w:p>
        </w:tc>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c>
          <w:tcPr>
            <w:tcW w:type="dxa" w:w="4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Live WiFi disconnect/reconnect tests, buffer recovery check</w:t>
            </w:r>
          </w:p>
        </w:tc>
      </w:tr>
      <w:tr>
        <w:tc>
          <w:tcPr>
            <w:tcW w:type="dxa" w:w="2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Dashboard &amp; Alerts</w:t>
            </w:r>
          </w:p>
        </w:tc>
        <w:tc>
          <w:tcPr>
            <w:tcW w:type="dxa" w:w="17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Functional testing</w:t>
            </w:r>
          </w:p>
        </w:tc>
        <w:tc>
          <w:tcPr>
            <w:tcW w:type="dxa" w:w="1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Piyush Singh Tomar</w:t>
            </w:r>
          </w:p>
        </w:tc>
        <w:tc>
          <w:tcPr>
            <w:tcW w:type="dxa" w:w="42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Manual and API-level checks of all endpoints and alert flows</w:t>
            </w:r>
          </w:p>
        </w:tc>
      </w:tr>
      <w:tr>
        <w:tc>
          <w:tcPr>
            <w:tcW w:type="dxa" w:w="2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Calibration</w:t>
            </w:r>
          </w:p>
        </w:tc>
        <w:tc>
          <w:tcPr>
            <w:tcW w:type="dxa" w:w="17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Accuracy testing</w:t>
            </w:r>
          </w:p>
        </w:tc>
        <w:tc>
          <w:tcPr>
            <w:tcW w:type="dxa" w:w="1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c>
          <w:tcPr>
            <w:tcW w:type="dxa" w:w="42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Compare sensor readings against reference thermometer/hygrometer</w:t>
            </w:r>
          </w:p>
        </w:tc>
      </w:tr>
    </w:tbl>
    <w:p>
      <w:pPr>
        <w:pStyle w:val="Heading2"/>
        <w:spacing w:after="150" w:before="300"/>
      </w:pPr>
      <w:r>
        <w:rPr>
          <w:rFonts w:ascii="Cambria" w:cs="Cambria" w:eastAsia="Cambria" w:hAnsi="Cambria"/>
          <w:b/>
          <w:bCs/>
          <w:color w:val="2F6B34"/>
          <w:sz w:val="25"/>
          <w:szCs w:val="25"/>
        </w:rPr>
        <w:t xml:space="preserve">15.3  Environments</w:t>
      </w:r>
    </w:p>
    <w:p>
      <w:pPr>
        <w:spacing w:after="160" w:line="288"/>
        <w:jc w:val="both"/>
      </w:pPr>
      <w:r>
        <w:rPr>
          <w:rFonts w:ascii="Calibri" w:cs="Calibri" w:eastAsia="Calibri" w:hAnsi="Calibri"/>
          <w:color w:val="222222"/>
          <w:sz w:val="22"/>
          <w:szCs w:val="22"/>
        </w:rPr>
        <w:t xml:space="preserve">Development → Bench Testing → Field Trial</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16. Security and Compliance</w:t>
      </w:r>
    </w:p>
    <w:p>
      <w:pPr>
        <w:pStyle w:val="Heading2"/>
        <w:spacing w:after="150" w:before="300"/>
      </w:pPr>
      <w:r>
        <w:rPr>
          <w:rFonts w:ascii="Cambria" w:cs="Cambria" w:eastAsia="Cambria" w:hAnsi="Cambria"/>
          <w:b/>
          <w:bCs/>
          <w:color w:val="2F6B34"/>
          <w:sz w:val="25"/>
          <w:szCs w:val="25"/>
        </w:rPr>
        <w:t xml:space="preserve">16.1  Data Handling</w:t>
      </w:r>
    </w:p>
    <w:p>
      <w:pPr>
        <w:pStyle w:val="ListParagraph"/>
        <w:numPr>
          <w:ilvl w:val="0"/>
          <w:numId w:val="2"/>
        </w:numPr>
        <w:spacing w:after="100" w:line="276"/>
        <w:jc w:val="both"/>
      </w:pPr>
      <w:r>
        <w:rPr>
          <w:rFonts w:ascii="Calibri" w:cs="Calibri" w:eastAsia="Calibri" w:hAnsi="Calibri"/>
          <w:color w:val="222222"/>
          <w:sz w:val="22"/>
          <w:szCs w:val="22"/>
        </w:rPr>
        <w:t xml:space="preserve">Telemetry and trip data stored locally / on the project database</w:t>
      </w:r>
    </w:p>
    <w:p>
      <w:pPr>
        <w:pStyle w:val="ListParagraph"/>
        <w:numPr>
          <w:ilvl w:val="0"/>
          <w:numId w:val="2"/>
        </w:numPr>
        <w:spacing w:after="100" w:line="276"/>
        <w:jc w:val="both"/>
      </w:pPr>
      <w:r>
        <w:rPr>
          <w:rFonts w:ascii="Calibri" w:cs="Calibri" w:eastAsia="Calibri" w:hAnsi="Calibri"/>
          <w:color w:val="222222"/>
          <w:sz w:val="22"/>
          <w:szCs w:val="22"/>
        </w:rPr>
        <w:t xml:space="preserve">Dashboard access restricted to the project team and mentor during development</w:t>
      </w:r>
    </w:p>
    <w:p>
      <w:pPr>
        <w:pStyle w:val="ListParagraph"/>
        <w:numPr>
          <w:ilvl w:val="0"/>
          <w:numId w:val="2"/>
        </w:numPr>
        <w:spacing w:after="100" w:line="276"/>
        <w:jc w:val="both"/>
      </w:pPr>
      <w:r>
        <w:rPr>
          <w:rFonts w:ascii="Calibri" w:cs="Calibri" w:eastAsia="Calibri" w:hAnsi="Calibri"/>
          <w:color w:val="222222"/>
          <w:sz w:val="22"/>
          <w:szCs w:val="22"/>
        </w:rPr>
        <w:t xml:space="preserve">Basic email-password authentication for dashboard access</w:t>
      </w:r>
    </w:p>
    <w:p>
      <w:pPr>
        <w:pStyle w:val="Heading2"/>
        <w:spacing w:after="150" w:before="300"/>
      </w:pPr>
      <w:r>
        <w:rPr>
          <w:rFonts w:ascii="Cambria" w:cs="Cambria" w:eastAsia="Cambria" w:hAnsi="Cambria"/>
          <w:b/>
          <w:bCs/>
          <w:color w:val="2F6B34"/>
          <w:sz w:val="25"/>
          <w:szCs w:val="25"/>
        </w:rPr>
        <w:t xml:space="preserve">16.2  Compliance</w:t>
      </w:r>
    </w:p>
    <w:p>
      <w:pPr>
        <w:spacing w:after="160" w:line="288"/>
        <w:jc w:val="both"/>
      </w:pPr>
      <w:r>
        <w:rPr>
          <w:rFonts w:ascii="Calibri" w:cs="Calibri" w:eastAsia="Calibri" w:hAnsi="Calibri"/>
          <w:color w:val="222222"/>
          <w:sz w:val="22"/>
          <w:szCs w:val="22"/>
        </w:rPr>
        <w:t xml:space="preserve">Academic project; follows institute policy; no third-party data sharing.</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17. Delivery and Operations</w:t>
      </w:r>
    </w:p>
    <w:p>
      <w:pPr>
        <w:pStyle w:val="Heading2"/>
        <w:spacing w:after="150" w:before="300"/>
      </w:pPr>
      <w:r>
        <w:rPr>
          <w:rFonts w:ascii="Cambria" w:cs="Cambria" w:eastAsia="Cambria" w:hAnsi="Cambria"/>
          <w:b/>
          <w:bCs/>
          <w:color w:val="2F6B34"/>
          <w:sz w:val="25"/>
          <w:szCs w:val="25"/>
        </w:rPr>
        <w:t xml:space="preserve">17.1  Release Plan</w:t>
      </w:r>
    </w:p>
    <w:p>
      <w:pPr>
        <w:spacing w:after="160" w:line="288"/>
        <w:jc w:val="both"/>
      </w:pPr>
      <w:r>
        <w:rPr>
          <w:rFonts w:ascii="Calibri" w:cs="Calibri" w:eastAsia="Calibri" w:hAnsi="Calibri"/>
          <w:color w:val="222222"/>
          <w:sz w:val="22"/>
          <w:szCs w:val="22"/>
        </w:rPr>
        <w:t xml:space="preserve">Prototype demo and dashboard walkthrough at project submission, with incremental feature rollout across the 8-week timeline.</w:t>
      </w:r>
    </w:p>
    <w:p>
      <w:pPr>
        <w:pStyle w:val="Heading2"/>
        <w:spacing w:after="150" w:before="300"/>
      </w:pPr>
      <w:r>
        <w:rPr>
          <w:rFonts w:ascii="Cambria" w:cs="Cambria" w:eastAsia="Cambria" w:hAnsi="Cambria"/>
          <w:b/>
          <w:bCs/>
          <w:color w:val="2F6B34"/>
          <w:sz w:val="25"/>
          <w:szCs w:val="25"/>
        </w:rPr>
        <w:t xml:space="preserve">17.2  Communication Plan</w:t>
      </w:r>
    </w:p>
    <w:p>
      <w:pPr>
        <w:spacing w:after="160" w:line="288"/>
        <w:jc w:val="both"/>
      </w:pPr>
      <w:r>
        <w:rPr>
          <w:rFonts w:ascii="Calibri" w:cs="Calibri" w:eastAsia="Calibri" w:hAnsi="Calibri"/>
          <w:color w:val="222222"/>
          <w:sz w:val="22"/>
          <w:szCs w:val="22"/>
        </w:rPr>
        <w:t xml:space="preserve">Regular team sync and weekly status update to the mentor, Prof. Yunis Ahmad Lone; demonstration at the end of each major milestone.</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18. Risks and Mitigations</w:t>
      </w:r>
    </w:p>
    <w:tbl>
      <w:tblPr>
        <w:tblW w:type="dxa" w:w="8900"/>
        <w:tblBorders>
          <w:top w:val="single" w:color="B9C7B7" w:sz="4"/>
          <w:left w:val="single" w:color="B9C7B7" w:sz="4"/>
          <w:bottom w:val="single" w:color="B9C7B7" w:sz="4"/>
          <w:right w:val="single" w:color="B9C7B7" w:sz="4"/>
          <w:insideH w:val="single" w:color="B9C7B7" w:sz="4"/>
          <w:insideV w:val="single" w:color="B9C7B7" w:sz="4"/>
        </w:tblBorders>
      </w:tblPr>
      <w:tblGrid>
        <w:gridCol w:w="2500"/>
        <w:gridCol w:w="1300"/>
        <w:gridCol w:w="1100"/>
        <w:gridCol w:w="2900"/>
        <w:gridCol w:w="1100"/>
      </w:tblGrid>
      <w:tr>
        <w:trPr>
          <w:tblHeader/>
        </w:trPr>
        <w:tc>
          <w:tcPr>
            <w:tcW w:type="dxa" w:w="25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Risk</w:t>
            </w:r>
          </w:p>
        </w:tc>
        <w:tc>
          <w:tcPr>
            <w:tcW w:type="dxa" w:w="13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Probability</w:t>
            </w:r>
          </w:p>
        </w:tc>
        <w:tc>
          <w:tcPr>
            <w:tcW w:type="dxa" w:w="11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Impact</w:t>
            </w:r>
          </w:p>
        </w:tc>
        <w:tc>
          <w:tcPr>
            <w:tcW w:type="dxa" w:w="29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Mitigation</w:t>
            </w:r>
          </w:p>
        </w:tc>
        <w:tc>
          <w:tcPr>
            <w:tcW w:type="dxa" w:w="110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Owner</w:t>
            </w:r>
          </w:p>
        </w:tc>
      </w:tr>
      <w:tr>
        <w:tc>
          <w:tcPr>
            <w:tcW w:type="dxa" w:w="25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Battery drain on multi-day trips</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Medium</w:t>
            </w:r>
          </w:p>
        </w:tc>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High</w:t>
            </w:r>
          </w:p>
        </w:tc>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Aggressive sleep cycles, larger battery capacity</w:t>
            </w:r>
          </w:p>
        </w:tc>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r>
      <w:tr>
        <w:tc>
          <w:tcPr>
            <w:tcW w:type="dxa" w:w="25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Network interruption causing data loss</w:t>
            </w:r>
          </w:p>
        </w:tc>
        <w:tc>
          <w:tcPr>
            <w:tcW w:type="dxa" w:w="13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Medium</w:t>
            </w:r>
          </w:p>
        </w:tc>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High</w:t>
            </w:r>
          </w:p>
        </w:tc>
        <w:tc>
          <w:tcPr>
            <w:tcW w:type="dxa" w:w="2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SD/EEPROM buffering with automatic resync</w:t>
            </w:r>
          </w:p>
        </w:tc>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Ansh Yadav</w:t>
            </w:r>
          </w:p>
        </w:tc>
      </w:tr>
      <w:tr>
        <w:tc>
          <w:tcPr>
            <w:tcW w:type="dxa" w:w="25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Sensor drift / calibration error</w:t>
            </w:r>
          </w:p>
        </w:tc>
        <w:tc>
          <w:tcPr>
            <w:tcW w:type="dxa" w:w="13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Medium</w:t>
            </w:r>
          </w:p>
        </w:tc>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Medium</w:t>
            </w:r>
          </w:p>
        </w:tc>
        <w:tc>
          <w:tcPr>
            <w:tcW w:type="dxa" w:w="29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Periodic calibration against a reference instrument</w:t>
            </w:r>
          </w:p>
        </w:tc>
        <w:tc>
          <w:tcPr>
            <w:tcW w:type="dxa" w:w="11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r>
      <w:tr>
        <w:tc>
          <w:tcPr>
            <w:tcW w:type="dxa" w:w="25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Schedule slip within the 8-week timeline</w:t>
            </w:r>
          </w:p>
        </w:tc>
        <w:tc>
          <w:tcPr>
            <w:tcW w:type="dxa" w:w="13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Medium</w:t>
            </w:r>
          </w:p>
        </w:tc>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High</w:t>
            </w:r>
          </w:p>
        </w:tc>
        <w:tc>
          <w:tcPr>
            <w:tcW w:type="dxa" w:w="29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Weekly milestones, scope freeze on core features</w:t>
            </w:r>
          </w:p>
        </w:tc>
        <w:tc>
          <w:tcPr>
            <w:tcW w:type="dxa" w:w="110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Charu Khandelwal</w:t>
            </w:r>
          </w:p>
        </w:tc>
      </w:tr>
    </w:tbl>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19. Research and Evaluation</w:t>
      </w:r>
    </w:p>
    <w:p>
      <w:pPr>
        <w:pStyle w:val="Heading2"/>
        <w:spacing w:after="150" w:before="300"/>
      </w:pPr>
      <w:r>
        <w:rPr>
          <w:rFonts w:ascii="Cambria" w:cs="Cambria" w:eastAsia="Cambria" w:hAnsi="Cambria"/>
          <w:b/>
          <w:bCs/>
          <w:color w:val="2F6B34"/>
          <w:sz w:val="25"/>
          <w:szCs w:val="25"/>
        </w:rPr>
        <w:t xml:space="preserve">19.1  Literature Review / Study of Existing Approaches</w:t>
      </w:r>
    </w:p>
    <w:p>
      <w:pPr>
        <w:spacing w:after="160" w:line="288"/>
        <w:jc w:val="both"/>
      </w:pPr>
      <w:r>
        <w:rPr>
          <w:rFonts w:ascii="Calibri" w:cs="Calibri" w:eastAsia="Calibri" w:hAnsi="Calibri"/>
          <w:color w:val="222222"/>
          <w:sz w:val="22"/>
          <w:szCs w:val="22"/>
        </w:rPr>
        <w:t xml:space="preserve">Enterprise platforms such as Sensitech, Monnit, and Controlant offer robust cold-chain tracking but are expensive and closed-platform, making them inaccessible to small and mid-size logistics operators. Most affordable alternatives only log data for post-trip review rather than predicting spoilage risk in real time. This gap motivated the design of a low-cost, predictive sensor-node system:</w:t>
      </w:r>
    </w:p>
    <w:tbl>
      <w:tblPr>
        <w:tblW w:type="dxa" w:w="8900"/>
        <w:tblBorders>
          <w:top w:val="single" w:color="B9C7B7" w:sz="4"/>
          <w:left w:val="single" w:color="B9C7B7" w:sz="4"/>
          <w:bottom w:val="single" w:color="B9C7B7" w:sz="4"/>
          <w:right w:val="single" w:color="B9C7B7" w:sz="4"/>
          <w:insideH w:val="single" w:color="B9C7B7" w:sz="4"/>
          <w:insideV w:val="single" w:color="B9C7B7" w:sz="4"/>
        </w:tblBorders>
      </w:tblPr>
      <w:tblGrid>
        <w:gridCol w:w="4450"/>
        <w:gridCol w:w="4450"/>
      </w:tblGrid>
      <w:tr>
        <w:trPr>
          <w:tblHeader/>
        </w:trPr>
        <w:tc>
          <w:tcPr>
            <w:tcW w:type="dxa" w:w="445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Manual / Basic Logging (Traditional)</w:t>
            </w:r>
          </w:p>
        </w:tc>
        <w:tc>
          <w:tcPr>
            <w:tcW w:type="dxa" w:w="445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Proposed System (This Project)</w:t>
            </w:r>
          </w:p>
        </w:tc>
      </w:tr>
      <w:tr>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USB data logger, reviewed after the trip</w:t>
            </w:r>
          </w:p>
        </w:tc>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Real-time dashboard with live monitoring</w:t>
            </w:r>
          </w:p>
        </w:tc>
      </w:tr>
      <w:tr>
        <w:tc>
          <w:tcPr>
            <w:tcW w:type="dxa" w:w="445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No predictive spoilage estimate</w:t>
            </w:r>
          </w:p>
        </w:tc>
        <w:tc>
          <w:tcPr>
            <w:tcW w:type="dxa" w:w="445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On-edge shelf-life decay estimate</w:t>
            </w:r>
          </w:p>
        </w:tc>
      </w:tr>
      <w:tr>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Data lost if device is not retrieved on time</w:t>
            </w:r>
          </w:p>
        </w:tc>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Local buffering with automatic cloud sync</w:t>
            </w:r>
          </w:p>
        </w:tc>
      </w:tr>
      <w:tr>
        <w:tc>
          <w:tcPr>
            <w:tcW w:type="dxa" w:w="445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Manual, informal record-keeping</w:t>
            </w:r>
          </w:p>
        </w:tc>
        <w:tc>
          <w:tcPr>
            <w:tcW w:type="dxa" w:w="445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Automated, timestamped compliance report</w:t>
            </w:r>
          </w:p>
        </w:tc>
      </w:tr>
    </w:tbl>
    <w:p>
      <w:pPr>
        <w:pStyle w:val="Heading2"/>
        <w:spacing w:after="150" w:before="300"/>
      </w:pPr>
      <w:r>
        <w:rPr>
          <w:rFonts w:ascii="Cambria" w:cs="Cambria" w:eastAsia="Cambria" w:hAnsi="Cambria"/>
          <w:b/>
          <w:bCs/>
          <w:color w:val="2F6B34"/>
          <w:sz w:val="25"/>
          <w:szCs w:val="25"/>
        </w:rPr>
        <w:t xml:space="preserve">19.2  Evaluation Using Reference Data</w:t>
      </w:r>
    </w:p>
    <w:p>
      <w:pPr>
        <w:spacing w:after="160" w:line="288"/>
        <w:jc w:val="both"/>
      </w:pPr>
      <w:r>
        <w:rPr>
          <w:rFonts w:ascii="Calibri" w:cs="Calibri" w:eastAsia="Calibri" w:hAnsi="Calibri"/>
          <w:color w:val="222222"/>
          <w:sz w:val="22"/>
          <w:szCs w:val="22"/>
        </w:rPr>
        <w:t xml:space="preserve">The decay model will be validated against published food-spoilage kinetics data and simulated temperature-abuse scenarios, for example:</w:t>
      </w:r>
    </w:p>
    <w:tbl>
      <w:tblPr>
        <w:tblW w:type="dxa" w:w="8900"/>
        <w:tblBorders>
          <w:top w:val="single" w:color="B9C7B7" w:sz="4"/>
          <w:left w:val="single" w:color="B9C7B7" w:sz="4"/>
          <w:bottom w:val="single" w:color="B9C7B7" w:sz="4"/>
          <w:right w:val="single" w:color="B9C7B7" w:sz="4"/>
          <w:insideH w:val="single" w:color="B9C7B7" w:sz="4"/>
          <w:insideV w:val="single" w:color="B9C7B7" w:sz="4"/>
        </w:tblBorders>
      </w:tblPr>
      <w:tblGrid>
        <w:gridCol w:w="4450"/>
        <w:gridCol w:w="4450"/>
      </w:tblGrid>
      <w:tr>
        <w:trPr>
          <w:tblHeader/>
        </w:trPr>
        <w:tc>
          <w:tcPr>
            <w:tcW w:type="dxa" w:w="445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Sustained Temperature Excursion</w:t>
            </w:r>
          </w:p>
        </w:tc>
        <w:tc>
          <w:tcPr>
            <w:tcW w:type="dxa" w:w="4450"/>
            <w:shd w:fill="2F6B34" w:val="clear"/>
            <w:tcMar>
              <w:top w:type="dxa" w:w="90"/>
              <w:left w:type="dxa" w:w="130"/>
              <w:bottom w:type="dxa" w:w="90"/>
              <w:right w:type="dxa" w:w="130"/>
            </w:tcMar>
            <w:vAlign w:val="center"/>
          </w:tcPr>
          <w:p>
            <w:pPr>
              <w:jc w:val="left"/>
            </w:pPr>
            <w:r>
              <w:rPr>
                <w:rFonts w:ascii="Calibri" w:cs="Calibri" w:eastAsia="Calibri" w:hAnsi="Calibri"/>
                <w:b/>
                <w:bCs/>
                <w:color w:val="FFFFFF"/>
                <w:sz w:val="20"/>
                <w:szCs w:val="20"/>
              </w:rPr>
              <w:t xml:space="preserve">Predicted Remaining Shelf Life</w:t>
            </w:r>
          </w:p>
        </w:tc>
      </w:tr>
      <w:tr>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2 degrees C above threshold for 1 hour</w:t>
            </w:r>
          </w:p>
        </w:tc>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Reduced by approximately 10 percent</w:t>
            </w:r>
          </w:p>
        </w:tc>
      </w:tr>
      <w:tr>
        <w:tc>
          <w:tcPr>
            <w:tcW w:type="dxa" w:w="445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5 degrees C above threshold for 1 hour</w:t>
            </w:r>
          </w:p>
        </w:tc>
        <w:tc>
          <w:tcPr>
            <w:tcW w:type="dxa" w:w="4450"/>
            <w:shd w:fill="EEF3EC"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Reduced by approximately 30 percent</w:t>
            </w:r>
          </w:p>
        </w:tc>
      </w:tr>
      <w:tr>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8 degrees C above threshold for 1 hour</w:t>
            </w:r>
          </w:p>
        </w:tc>
        <w:tc>
          <w:tcPr>
            <w:tcW w:type="dxa" w:w="445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22222"/>
                <w:sz w:val="20"/>
                <w:szCs w:val="20"/>
              </w:rPr>
              <w:t xml:space="preserve">Reduced by approximately 55 percent</w:t>
            </w:r>
          </w:p>
        </w:tc>
      </w:tr>
    </w:tbl>
    <w:p>
      <w:pPr>
        <w:pStyle w:val="Heading2"/>
        <w:spacing w:after="150" w:before="300"/>
      </w:pPr>
      <w:r>
        <w:rPr>
          <w:rFonts w:ascii="Cambria" w:cs="Cambria" w:eastAsia="Cambria" w:hAnsi="Cambria"/>
          <w:b/>
          <w:bCs/>
          <w:color w:val="2F6B34"/>
          <w:sz w:val="25"/>
          <w:szCs w:val="25"/>
        </w:rPr>
        <w:t xml:space="preserve">19.3  User Feedback</w:t>
      </w:r>
    </w:p>
    <w:p>
      <w:pPr>
        <w:spacing w:after="160" w:line="288"/>
        <w:jc w:val="both"/>
      </w:pPr>
      <w:r>
        <w:rPr>
          <w:rFonts w:ascii="Calibri" w:cs="Calibri" w:eastAsia="Calibri" w:hAnsi="Calibri"/>
          <w:color w:val="222222"/>
          <w:sz w:val="22"/>
          <w:szCs w:val="22"/>
        </w:rPr>
        <w:t xml:space="preserve">Mentor and peer feedback will be collected on alert clarity, dashboard usability, and report format, guiding improvements to the detection and alerting logic.</w:t>
      </w:r>
    </w:p>
    <w:p>
      <w:pPr>
        <w:pStyle w:val="Heading2"/>
        <w:spacing w:after="150" w:before="300"/>
      </w:pPr>
      <w:r>
        <w:rPr>
          <w:rFonts w:ascii="Cambria" w:cs="Cambria" w:eastAsia="Cambria" w:hAnsi="Cambria"/>
          <w:b/>
          <w:bCs/>
          <w:color w:val="2F6B34"/>
          <w:sz w:val="25"/>
          <w:szCs w:val="25"/>
        </w:rPr>
        <w:t xml:space="preserve">19.4  KPI Tracking</w:t>
      </w:r>
    </w:p>
    <w:p>
      <w:pPr>
        <w:spacing w:after="160" w:line="288"/>
        <w:jc w:val="both"/>
      </w:pPr>
      <w:r>
        <w:rPr>
          <w:rFonts w:ascii="Calibri" w:cs="Calibri" w:eastAsia="Calibri" w:hAnsi="Calibri"/>
          <w:color w:val="222222"/>
          <w:sz w:val="22"/>
          <w:szCs w:val="22"/>
        </w:rPr>
        <w:t xml:space="preserve">Key metrics tracked include alert latency, temperature accuracy, battery life, data-loss rate during network interruptions, and dashboard uptime, monitored continuously to guide iteration.</w:t>
      </w:r>
    </w:p>
    <w:p>
      <w:r>
        <w:br w:type="page"/>
      </w:r>
    </w:p>
    <w:p>
      <w:pPr>
        <w:pStyle w:val="Heading1"/>
        <w:pBdr>
          <w:bottom w:val="single" w:color="1F4023" w:sz="10" w:space="6"/>
        </w:pBdr>
        <w:spacing w:after="240" w:before="0"/>
      </w:pPr>
      <w:r>
        <w:rPr>
          <w:rFonts w:ascii="Cambria" w:cs="Cambria" w:eastAsia="Cambria" w:hAnsi="Cambria"/>
          <w:b/>
          <w:bCs/>
          <w:color w:val="1F4023"/>
          <w:sz w:val="32"/>
          <w:szCs w:val="32"/>
        </w:rPr>
        <w:t xml:space="preserve">20. Appendices</w:t>
      </w:r>
    </w:p>
    <w:p>
      <w:pPr>
        <w:pStyle w:val="Heading2"/>
        <w:spacing w:after="150" w:before="300"/>
      </w:pPr>
      <w:r>
        <w:rPr>
          <w:rFonts w:ascii="Cambria" w:cs="Cambria" w:eastAsia="Cambria" w:hAnsi="Cambria"/>
          <w:b/>
          <w:bCs/>
          <w:color w:val="2F6B34"/>
          <w:sz w:val="25"/>
          <w:szCs w:val="25"/>
        </w:rPr>
        <w:t xml:space="preserve">20.1  Glossary</w:t>
      </w:r>
    </w:p>
    <w:p>
      <w:pPr>
        <w:pStyle w:val="ListParagraph"/>
        <w:numPr>
          <w:ilvl w:val="0"/>
          <w:numId w:val="2"/>
        </w:numPr>
        <w:spacing w:after="100" w:line="276"/>
        <w:jc w:val="both"/>
      </w:pPr>
      <w:r>
        <w:rPr>
          <w:rFonts w:ascii="Calibri" w:cs="Calibri" w:eastAsia="Calibri" w:hAnsi="Calibri"/>
          <w:color w:val="222222"/>
          <w:sz w:val="22"/>
          <w:szCs w:val="22"/>
        </w:rPr>
        <w:t xml:space="preserve">IoT: Internet of Things, a network of connected physical devices.</w:t>
      </w:r>
    </w:p>
    <w:p>
      <w:pPr>
        <w:pStyle w:val="ListParagraph"/>
        <w:numPr>
          <w:ilvl w:val="0"/>
          <w:numId w:val="2"/>
        </w:numPr>
        <w:spacing w:after="100" w:line="276"/>
        <w:jc w:val="both"/>
      </w:pPr>
      <w:r>
        <w:rPr>
          <w:rFonts w:ascii="Calibri" w:cs="Calibri" w:eastAsia="Calibri" w:hAnsi="Calibri"/>
          <w:color w:val="222222"/>
          <w:sz w:val="22"/>
          <w:szCs w:val="22"/>
        </w:rPr>
        <w:t xml:space="preserve">VOC: Volatile Organic Compound, a gas indicator of spoilage or decay.</w:t>
      </w:r>
    </w:p>
    <w:p>
      <w:pPr>
        <w:pStyle w:val="ListParagraph"/>
        <w:numPr>
          <w:ilvl w:val="0"/>
          <w:numId w:val="2"/>
        </w:numPr>
        <w:spacing w:after="100" w:line="276"/>
        <w:jc w:val="both"/>
      </w:pPr>
      <w:r>
        <w:rPr>
          <w:rFonts w:ascii="Calibri" w:cs="Calibri" w:eastAsia="Calibri" w:hAnsi="Calibri"/>
          <w:color w:val="222222"/>
          <w:sz w:val="22"/>
          <w:szCs w:val="22"/>
        </w:rPr>
        <w:t xml:space="preserve">Arrhenius model: A kinetic model relating reaction (decay) rate to temperature.</w:t>
      </w:r>
    </w:p>
    <w:p>
      <w:pPr>
        <w:pStyle w:val="ListParagraph"/>
        <w:numPr>
          <w:ilvl w:val="0"/>
          <w:numId w:val="2"/>
        </w:numPr>
        <w:spacing w:after="100" w:line="276"/>
        <w:jc w:val="both"/>
      </w:pPr>
      <w:r>
        <w:rPr>
          <w:rFonts w:ascii="Calibri" w:cs="Calibri" w:eastAsia="Calibri" w:hAnsi="Calibri"/>
          <w:color w:val="222222"/>
          <w:sz w:val="22"/>
          <w:szCs w:val="22"/>
        </w:rPr>
        <w:t xml:space="preserve">KPI: A metric used to measure performance.</w:t>
      </w:r>
    </w:p>
    <w:p>
      <w:pPr>
        <w:pStyle w:val="ListParagraph"/>
        <w:numPr>
          <w:ilvl w:val="0"/>
          <w:numId w:val="2"/>
        </w:numPr>
        <w:spacing w:after="100" w:line="276"/>
        <w:jc w:val="both"/>
      </w:pPr>
      <w:r>
        <w:rPr>
          <w:rFonts w:ascii="Calibri" w:cs="Calibri" w:eastAsia="Calibri" w:hAnsi="Calibri"/>
          <w:color w:val="222222"/>
          <w:sz w:val="22"/>
          <w:szCs w:val="22"/>
        </w:rPr>
        <w:t xml:space="preserve">SLO: A target service performance level.</w:t>
      </w:r>
    </w:p>
    <w:p>
      <w:pPr>
        <w:pStyle w:val="Heading2"/>
        <w:spacing w:after="150" w:before="300"/>
      </w:pPr>
      <w:r>
        <w:rPr>
          <w:rFonts w:ascii="Cambria" w:cs="Cambria" w:eastAsia="Cambria" w:hAnsi="Cambria"/>
          <w:b/>
          <w:bCs/>
          <w:color w:val="2F6B34"/>
          <w:sz w:val="25"/>
          <w:szCs w:val="25"/>
        </w:rPr>
        <w:t xml:space="preserve">20.2  References</w:t>
      </w:r>
    </w:p>
    <w:p>
      <w:pPr>
        <w:pStyle w:val="ListParagraph"/>
        <w:numPr>
          <w:ilvl w:val="0"/>
          <w:numId w:val="2"/>
        </w:numPr>
        <w:spacing w:after="100" w:line="276"/>
        <w:jc w:val="both"/>
      </w:pPr>
      <w:r>
        <w:rPr>
          <w:rFonts w:ascii="Calibri" w:cs="Calibri" w:eastAsia="Calibri" w:hAnsi="Calibri"/>
          <w:color w:val="222222"/>
          <w:sz w:val="22"/>
          <w:szCs w:val="22"/>
        </w:rPr>
        <w:t xml:space="preserve">Espressif ESP32 Documentation — https://docs.espressif.com</w:t>
      </w:r>
    </w:p>
    <w:p>
      <w:pPr>
        <w:pStyle w:val="ListParagraph"/>
        <w:numPr>
          <w:ilvl w:val="0"/>
          <w:numId w:val="2"/>
        </w:numPr>
        <w:spacing w:after="100" w:line="276"/>
        <w:jc w:val="both"/>
      </w:pPr>
      <w:r>
        <w:rPr>
          <w:rFonts w:ascii="Calibri" w:cs="Calibri" w:eastAsia="Calibri" w:hAnsi="Calibri"/>
          <w:color w:val="222222"/>
          <w:sz w:val="22"/>
          <w:szCs w:val="22"/>
        </w:rPr>
        <w:t xml:space="preserve">Adafruit DHT22 / DS18B20 Guides — https://www.adafruit.com</w:t>
      </w:r>
    </w:p>
    <w:p>
      <w:pPr>
        <w:pStyle w:val="ListParagraph"/>
        <w:numPr>
          <w:ilvl w:val="0"/>
          <w:numId w:val="2"/>
        </w:numPr>
        <w:spacing w:after="100" w:line="276"/>
        <w:jc w:val="both"/>
      </w:pPr>
      <w:r>
        <w:rPr>
          <w:rFonts w:ascii="Calibri" w:cs="Calibri" w:eastAsia="Calibri" w:hAnsi="Calibri"/>
          <w:color w:val="222222"/>
          <w:sz w:val="22"/>
          <w:szCs w:val="22"/>
        </w:rPr>
        <w:t xml:space="preserve">Arduino Documentation — https://www.arduino.cc</w:t>
      </w:r>
    </w:p>
    <w:p>
      <w:pPr>
        <w:pStyle w:val="ListParagraph"/>
        <w:numPr>
          <w:ilvl w:val="0"/>
          <w:numId w:val="2"/>
        </w:numPr>
        <w:spacing w:after="100" w:line="276"/>
        <w:jc w:val="both"/>
      </w:pPr>
      <w:r>
        <w:rPr>
          <w:rFonts w:ascii="Calibri" w:cs="Calibri" w:eastAsia="Calibri" w:hAnsi="Calibri"/>
          <w:color w:val="222222"/>
          <w:sz w:val="22"/>
          <w:szCs w:val="22"/>
        </w:rPr>
        <w:t xml:space="preserve">MDN Web Docs — https://developer.mozilla.org</w:t>
      </w:r>
    </w:p>
    <w:p>
      <w:pPr>
        <w:pStyle w:val="ListParagraph"/>
        <w:numPr>
          <w:ilvl w:val="0"/>
          <w:numId w:val="2"/>
        </w:numPr>
        <w:spacing w:after="100" w:line="276"/>
        <w:jc w:val="both"/>
      </w:pPr>
      <w:r>
        <w:rPr>
          <w:rFonts w:ascii="Calibri" w:cs="Calibri" w:eastAsia="Calibri" w:hAnsi="Calibri"/>
          <w:color w:val="222222"/>
          <w:sz w:val="22"/>
          <w:szCs w:val="22"/>
        </w:rPr>
        <w:t xml:space="preserve">IEEE: “IoT-Based Cold Chain Monitoring Systems” — https://ieeexplore.ieee.org</w:t>
      </w:r>
    </w:p>
    <w:p>
      <w:pPr>
        <w:pStyle w:val="ListParagraph"/>
        <w:numPr>
          <w:ilvl w:val="0"/>
          <w:numId w:val="2"/>
        </w:numPr>
        <w:spacing w:after="100" w:line="276"/>
        <w:jc w:val="both"/>
      </w:pPr>
      <w:r>
        <w:rPr>
          <w:rFonts w:ascii="Calibri" w:cs="Calibri" w:eastAsia="Calibri" w:hAnsi="Calibri"/>
          <w:color w:val="222222"/>
          <w:sz w:val="22"/>
          <w:szCs w:val="22"/>
        </w:rPr>
        <w:t xml:space="preserve">Springer: “Arrhenius Kinetics in Food Spoilage Prediction” — https://link.springer.com</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7B7" w:sz="4" w:space="4"/>
      </w:pBdr>
      <w:jc w:val="right"/>
    </w:pPr>
    <w:r>
      <w:rPr>
        <w:rFonts w:ascii="Calibri" w:cs="Calibri" w:eastAsia="Calibri" w:hAnsi="Calibri"/>
        <w:i/>
        <w:iCs/>
        <w:color w:val="555555"/>
        <w:sz w:val="16"/>
        <w:szCs w:val="16"/>
      </w:rPr>
      <w:t xml:space="preserve">IoT Smart Cold Chain Temperature &amp; Spoilage Monitor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1F4023"/>
      </w:rPr>
    </w:lvl>
    <w:lvl w:ilvl="1" w15:tentative="1">
      <w:start w:val="1"/>
      <w:numFmt w:val="bullet"/>
      <w:lvlText w:val="◦"/>
      <w:lvlJc w:val="left"/>
      <w:pPr>
        <w:ind w:left="900" w:hanging="260"/>
      </w:pPr>
      <w:rPr>
        <w:color w:val="2F6B3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2026-09-10T14:57:18.324Z</dcterms:created>
  <dcterms:modified xsi:type="dcterms:W3CDTF">2026-09-10T14:57:18.330Z</dcterms:modified>
</cp:coreProperties>
</file>

<file path=docProps/custom.xml><?xml version="1.0" encoding="utf-8"?>
<Properties xmlns="http://schemas.openxmlformats.org/officeDocument/2006/custom-properties" xmlns:vt="http://schemas.openxmlformats.org/officeDocument/2006/docPropsVTypes"/>
</file>