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B2" w:rsidRDefault="00622EB2"/>
    <w:tbl>
      <w:tblPr>
        <w:tblStyle w:val="a"/>
        <w:tblW w:w="9638" w:type="dxa"/>
        <w:tblLayout w:type="fixed"/>
        <w:tblLook w:val="0000" w:firstRow="0" w:lastRow="0" w:firstColumn="0" w:lastColumn="0" w:noHBand="0" w:noVBand="0"/>
      </w:tblPr>
      <w:tblGrid>
        <w:gridCol w:w="2497"/>
        <w:gridCol w:w="1403"/>
        <w:gridCol w:w="2045"/>
        <w:gridCol w:w="557"/>
        <w:gridCol w:w="1940"/>
        <w:gridCol w:w="1196"/>
      </w:tblGrid>
      <w:tr w:rsidR="00622EB2">
        <w:trPr>
          <w:gridAfter w:val="4"/>
          <w:wAfter w:w="5738" w:type="dxa"/>
        </w:trPr>
        <w:tc>
          <w:tcPr>
            <w:tcW w:w="2497" w:type="dxa"/>
            <w:shd w:val="clear" w:color="auto" w:fill="auto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123654"/>
                <w:sz w:val="40"/>
                <w:szCs w:val="40"/>
              </w:rPr>
              <w:t>Chronic_Kidney_Disease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123654"/>
                <w:sz w:val="40"/>
                <w:szCs w:val="40"/>
              </w:rPr>
              <w:t xml:space="preserve"> Data Set</w:t>
            </w:r>
            <w:r>
              <w:rPr>
                <w:color w:val="000000"/>
              </w:rPr>
              <w:br/>
            </w:r>
            <w:r>
              <w:rPr>
                <w:rFonts w:ascii="Helvetica Neue" w:eastAsia="Helvetica Neue" w:hAnsi="Helvetica Neue" w:cs="Helvetica Neue"/>
                <w:i/>
                <w:color w:val="123654"/>
                <w:sz w:val="28"/>
                <w:szCs w:val="28"/>
              </w:rPr>
              <w:t>Download</w:t>
            </w: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: </w:t>
            </w:r>
            <w:hyperlink r:id="rId4">
              <w:r>
                <w:rPr>
                  <w:rFonts w:ascii="Helvetica Neue" w:eastAsia="Helvetica Neue" w:hAnsi="Helvetica Neue" w:cs="Helvetica Neue"/>
                  <w:color w:val="123654"/>
                  <w:sz w:val="28"/>
                  <w:szCs w:val="28"/>
                  <w:highlight w:val="yellow"/>
                  <w:u w:val="single"/>
                </w:rPr>
                <w:t>Data Folder</w:t>
              </w:r>
            </w:hyperlink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, </w:t>
            </w:r>
            <w:hyperlink r:id="rId5">
              <w:r>
                <w:rPr>
                  <w:rFonts w:ascii="Helvetica Neue" w:eastAsia="Helvetica Neue" w:hAnsi="Helvetica Neue" w:cs="Helvetica Neue"/>
                  <w:color w:val="123654"/>
                  <w:sz w:val="28"/>
                  <w:szCs w:val="28"/>
                  <w:highlight w:val="yellow"/>
                  <w:u w:val="single"/>
                </w:rPr>
                <w:t>Data Set Description</w:t>
              </w:r>
            </w:hyperlink>
          </w:p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Abstract</w:t>
            </w: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: This dataset can be used to predict the chronic kidney disease and it can be collected from the hospital nearly 2 months of period.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22EB2" w:rsidRDefault="00622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622EB2">
        <w:tc>
          <w:tcPr>
            <w:tcW w:w="24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2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400</w:t>
            </w:r>
          </w:p>
        </w:tc>
        <w:tc>
          <w:tcPr>
            <w:tcW w:w="1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1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N/A</w:t>
            </w:r>
          </w:p>
        </w:tc>
      </w:tr>
      <w:tr w:rsidR="00622EB2">
        <w:tc>
          <w:tcPr>
            <w:tcW w:w="2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140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204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55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25</w:t>
            </w:r>
          </w:p>
        </w:tc>
        <w:tc>
          <w:tcPr>
            <w:tcW w:w="194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119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2015-07-03</w:t>
            </w:r>
          </w:p>
        </w:tc>
      </w:tr>
      <w:tr w:rsidR="00622EB2">
        <w:tc>
          <w:tcPr>
            <w:tcW w:w="2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140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204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55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194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DEEFF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119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22EB2" w:rsidRDefault="00B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123654"/>
                <w:sz w:val="20"/>
                <w:szCs w:val="20"/>
              </w:rPr>
              <w:t>147333</w:t>
            </w:r>
          </w:p>
        </w:tc>
      </w:tr>
    </w:tbl>
    <w:p w:rsidR="00622EB2" w:rsidRDefault="00622EB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Helvetica Neue" w:eastAsia="Helvetica Neue" w:hAnsi="Helvetica Neue" w:cs="Helvetica Neue"/>
          <w:color w:val="123654"/>
          <w:sz w:val="20"/>
          <w:szCs w:val="20"/>
        </w:rPr>
      </w:pPr>
    </w:p>
    <w:p w:rsidR="00622EB2" w:rsidRDefault="00622EB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Helvetica Neue" w:eastAsia="Helvetica Neue" w:hAnsi="Helvetica Neue" w:cs="Helvetica Neue"/>
          <w:b/>
          <w:color w:val="123654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123654"/>
          <w:sz w:val="28"/>
          <w:szCs w:val="28"/>
        </w:rPr>
        <w:t>Data Set Information: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Helvetica Neue" w:eastAsia="Helvetica Neue" w:hAnsi="Helvetica Neue" w:cs="Helvetica Neue"/>
          <w:color w:val="123654"/>
          <w:sz w:val="20"/>
          <w:szCs w:val="20"/>
        </w:rPr>
      </w:pPr>
      <w:r>
        <w:rPr>
          <w:rFonts w:ascii="Helvetica Neue" w:eastAsia="Helvetica Neue" w:hAnsi="Helvetica Neue" w:cs="Helvetica Neue"/>
          <w:color w:val="123654"/>
          <w:sz w:val="20"/>
          <w:szCs w:val="20"/>
        </w:rPr>
        <w:t>We use the following representation to collect the dataset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age - age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bp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blood pressure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sg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specific gravity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al - albumin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su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sugar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rbc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red blood cells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pc - pus cell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pcc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pus cell clumps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ba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bacteria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bgr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blood glucose random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bu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blood urea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serum creatinine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sod - sodium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pot - potassium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hemo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hemoglobin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pcv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packed cell volume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wc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white blood cell count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rc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red blood cell count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htn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hypertension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lastRenderedPageBreak/>
        <w:t>dm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diabetes mellitus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cad - coronary artery disease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appet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appetite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pe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- pedal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edema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ane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anemia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class - class</w:t>
      </w:r>
    </w:p>
    <w:p w:rsidR="00622EB2" w:rsidRDefault="00622EB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Helvetica Neue" w:eastAsia="Helvetica Neue" w:hAnsi="Helvetica Neue" w:cs="Helvetica Neue"/>
          <w:b/>
          <w:color w:val="123654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123654"/>
          <w:sz w:val="28"/>
          <w:szCs w:val="28"/>
        </w:rPr>
        <w:t>Attribute Information: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Helvetica Neue" w:eastAsia="Helvetica Neue" w:hAnsi="Helvetica Neue" w:cs="Helvetica Neue"/>
          <w:color w:val="123654"/>
          <w:sz w:val="20"/>
          <w:szCs w:val="20"/>
        </w:rPr>
      </w:pPr>
      <w:r>
        <w:rPr>
          <w:rFonts w:ascii="Helvetica Neue" w:eastAsia="Helvetica Neue" w:hAnsi="Helvetica Neue" w:cs="Helvetica Neue"/>
          <w:color w:val="123654"/>
          <w:sz w:val="20"/>
          <w:szCs w:val="20"/>
        </w:rPr>
        <w:t>We use 24 + class = 25 ( 11 numeric ,14 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1.Age(numerical)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age in years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2.Blood Pressure(numerical)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bp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mm/Hg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3.Specific Gravity(nominal)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sg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(1.005,1.010,1.015,1.020,1.025)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4.Album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t>in(nominal)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al - (0,1,2,3,4,5)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5.Sugar(nominal)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su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(0,1,2,3,4,5)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6.Red Blood Cells(nominal)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rbc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normal,abnormal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7.Pus Cell 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pc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normal,abnormal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8.Pus Cell clumps(nominal)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pcc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present,notpresent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9.Bacteria(nominal)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ba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present,notpre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t>sent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10.Blood Glucose Random(numerical)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bgr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mgs/dl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11.Blood Urea(numerical)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bu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mgs/dl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12.Serum Creatinine(numerical)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sc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mgs/dl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13.Sodium(numerical)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 xml:space="preserve">sod in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mEq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/L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14.Potassium(numerical)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 xml:space="preserve">pot in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mEq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/L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15.Hemoglobin(numerical)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hemo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gms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16.Packed C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t>ell Volume(numerical)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17.White Blood Cell Count(numerical)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wc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cells/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cumm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18.Red Blood Cell Count(numerical)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rc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in millions/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cmm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19.Hypertension(nominal)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htn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yes,no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lastRenderedPageBreak/>
        <w:t>20.Diabetes Mellitus(nominal)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dm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yes,no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21.Coronary Artery Disease(nominal)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 xml:space="preserve">cad - 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t>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yes,no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22.Appetite(nominal)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appet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good,poor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 xml:space="preserve">23.Pedal 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Edema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pe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yes,no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24.Anemia(nominal)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ane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 xml:space="preserve">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yes,no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25.Class (nominal)</w:t>
      </w:r>
      <w:r>
        <w:rPr>
          <w:rFonts w:ascii="Helvetica Neue" w:eastAsia="Helvetica Neue" w:hAnsi="Helvetica Neue" w:cs="Helvetica Neue"/>
          <w:color w:val="123654"/>
          <w:sz w:val="20"/>
          <w:szCs w:val="20"/>
        </w:rPr>
        <w:br/>
        <w:t>class - (</w:t>
      </w:r>
      <w:proofErr w:type="spellStart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ckd,notckd</w:t>
      </w:r>
      <w:proofErr w:type="spellEnd"/>
      <w:r>
        <w:rPr>
          <w:rFonts w:ascii="Helvetica Neue" w:eastAsia="Helvetica Neue" w:hAnsi="Helvetica Neue" w:cs="Helvetica Neue"/>
          <w:color w:val="123654"/>
          <w:sz w:val="20"/>
          <w:szCs w:val="20"/>
        </w:rPr>
        <w:t>)</w:t>
      </w:r>
    </w:p>
    <w:p w:rsidR="00622EB2" w:rsidRDefault="00622EB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problem faced: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t xml:space="preserve">a large no of cells in data set were missing, we tried to fill those columns  </w:t>
      </w:r>
      <w:r>
        <w:rPr>
          <w:color w:val="000000"/>
        </w:rPr>
        <w:t>using average by considering age and other factors which can influence the value in that columns.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t xml:space="preserve">Since the data set deals with medical </w:t>
      </w:r>
      <w:proofErr w:type="spellStart"/>
      <w:r>
        <w:rPr>
          <w:color w:val="000000"/>
        </w:rPr>
        <w:t>informations</w:t>
      </w:r>
      <w:proofErr w:type="spellEnd"/>
      <w:r>
        <w:rPr>
          <w:color w:val="000000"/>
        </w:rPr>
        <w:t xml:space="preserve"> , we think that its not practical to fill those columns by taking the average. Because there may be a chanc</w:t>
      </w:r>
      <w:r>
        <w:rPr>
          <w:color w:val="000000"/>
        </w:rPr>
        <w:t xml:space="preserve">e   that the instances that the   person is treated as a  kidney patient could be as a result of a missing value, and thus its not practical to fill those columns by taking the  average .About 90% of data in some columns were </w:t>
      </w:r>
      <w:proofErr w:type="spellStart"/>
      <w:r>
        <w:rPr>
          <w:color w:val="000000"/>
        </w:rPr>
        <w:t>missing,anyhow</w:t>
      </w:r>
      <w:proofErr w:type="spellEnd"/>
      <w:r>
        <w:rPr>
          <w:color w:val="000000"/>
        </w:rPr>
        <w:t xml:space="preserve"> we  tried to cr</w:t>
      </w:r>
      <w:r>
        <w:rPr>
          <w:color w:val="000000"/>
        </w:rPr>
        <w:t>eate models in both  ways... like filling  missing values by taking average as well as eliminating those columns.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t xml:space="preserve">           Then we found out that those columns which we filled were inappropriate and thus we get less accuracy, precision and f1 score. Thus</w:t>
      </w:r>
      <w:r>
        <w:rPr>
          <w:color w:val="000000"/>
        </w:rPr>
        <w:t xml:space="preserve"> we eliminate rows with missing values and then the data set with 400 rows get reduced to 156 and then we get 100% </w:t>
      </w:r>
      <w:proofErr w:type="spellStart"/>
      <w:r>
        <w:rPr>
          <w:color w:val="000000"/>
        </w:rPr>
        <w:t>accuracy,precision</w:t>
      </w:r>
      <w:proofErr w:type="spellEnd"/>
      <w:r>
        <w:rPr>
          <w:color w:val="000000"/>
        </w:rPr>
        <w:t xml:space="preserve"> and f1 score. </w:t>
      </w:r>
    </w:p>
    <w:p w:rsidR="00622EB2" w:rsidRDefault="00622EB2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GROUP MEMBERS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VYSAGHAN.KM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ALEN JOSEPH</w:t>
      </w:r>
    </w:p>
    <w:p w:rsidR="00622EB2" w:rsidRDefault="00B03435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ANSHAD RAHMAN P</w:t>
      </w:r>
      <w:bookmarkStart w:id="0" w:name="_GoBack"/>
      <w:bookmarkEnd w:id="0"/>
    </w:p>
    <w:sectPr w:rsidR="00622EB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B2"/>
    <w:rsid w:val="00622EB2"/>
    <w:rsid w:val="00B03435"/>
    <w:rsid w:val="00F7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81A55"/>
  <w15:docId w15:val="{276BD8E5-8EA4-F24E-B1C2-318CD03A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archive.ics.uci.edu/ml/datasets/Chronic_Kidney_Disease" TargetMode="External" /><Relationship Id="rId4" Type="http://schemas.openxmlformats.org/officeDocument/2006/relationships/hyperlink" Target="https://archive.ics.uci.edu/ml/machine-learning-databases/0033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Anshad Rahmanp</cp:lastModifiedBy>
  <cp:revision>3</cp:revision>
  <dcterms:created xsi:type="dcterms:W3CDTF">2019-12-07T07:02:00Z</dcterms:created>
  <dcterms:modified xsi:type="dcterms:W3CDTF">2019-12-07T07:02:00Z</dcterms:modified>
</cp:coreProperties>
</file>