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937" w:rsidRPr="005E7744" w:rsidRDefault="005E7744" w:rsidP="005E7744">
      <w:pPr>
        <w:pStyle w:val="Title"/>
        <w:spacing w:before="10" w:after="10"/>
        <w:jc w:val="center"/>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Question 1: Search, Selection and Ranking Methodology</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Identifying 20 startup incubator programmes in India and collecting current and archived website pages</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1. Purpose and scope</w:t>
      </w:r>
      <w:bookmarkStart w:id="0" w:name="_GoBack"/>
      <w:bookmarkEnd w:id="0"/>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 xml:space="preserve">The purpose of this exercise was to identify a defensible shortlist of 20 </w:t>
      </w:r>
      <w:r w:rsidRPr="005E7744">
        <w:rPr>
          <w:rFonts w:ascii="Times New Roman" w:hAnsi="Times New Roman" w:cs="Times New Roman"/>
          <w:color w:val="000000" w:themeColor="text1"/>
          <w:sz w:val="24"/>
          <w:szCs w:val="24"/>
        </w:rPr>
        <w:t>startup incubator programmes in India, compare them using two different indicators of scale, and create a reproducible record of their public-facing websites over time. The assignment does not define “largest” or prescribe a single dataset. I therefore tre</w:t>
      </w:r>
      <w:r w:rsidRPr="005E7744">
        <w:rPr>
          <w:rFonts w:ascii="Times New Roman" w:hAnsi="Times New Roman" w:cs="Times New Roman"/>
          <w:color w:val="000000" w:themeColor="text1"/>
          <w:sz w:val="24"/>
          <w:szCs w:val="24"/>
        </w:rPr>
        <w:t>ated largest as a practical measure of programme scale rather than assuming that one indicator captures every aspect of an incubator’s performance.</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exercise uses two complementary lenses: (1) startup output, represented by the number of startups report</w:t>
      </w:r>
      <w:r w:rsidRPr="005E7744">
        <w:rPr>
          <w:rFonts w:ascii="Times New Roman" w:hAnsi="Times New Roman" w:cs="Times New Roman"/>
          <w:color w:val="000000" w:themeColor="text1"/>
          <w:sz w:val="24"/>
          <w:szCs w:val="24"/>
        </w:rPr>
        <w:t>ed as incubated, supported or graduated; and (2) funding and ecosystem reach, represented by the amount of funding reported, the number of startups supported through funding, and the breadth of listed funding or ecosystem partners. These measures capture d</w:t>
      </w:r>
      <w:r w:rsidRPr="005E7744">
        <w:rPr>
          <w:rFonts w:ascii="Times New Roman" w:hAnsi="Times New Roman" w:cs="Times New Roman"/>
          <w:color w:val="000000" w:themeColor="text1"/>
          <w:sz w:val="24"/>
          <w:szCs w:val="24"/>
        </w:rPr>
        <w:t>ifferent dimensions. A programme may support many startups without managing the largest funding pool, while another may have a large funding pool or a broad partner network but a smaller reported startup count.</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2. Search strategy and source discovery</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I beg</w:t>
      </w:r>
      <w:r w:rsidRPr="005E7744">
        <w:rPr>
          <w:rFonts w:ascii="Times New Roman" w:hAnsi="Times New Roman" w:cs="Times New Roman"/>
          <w:color w:val="000000" w:themeColor="text1"/>
          <w:sz w:val="24"/>
          <w:szCs w:val="24"/>
        </w:rPr>
        <w:t xml:space="preserve">an by compiling a candidate list of Indian incubator programmes and recording basic identifying details: programme name, incubator type, parent institution, city and state, official website, </w:t>
      </w:r>
      <w:proofErr w:type="gramStart"/>
      <w:r w:rsidRPr="005E7744">
        <w:rPr>
          <w:rFonts w:ascii="Times New Roman" w:hAnsi="Times New Roman" w:cs="Times New Roman"/>
          <w:color w:val="000000" w:themeColor="text1"/>
          <w:sz w:val="24"/>
          <w:szCs w:val="24"/>
        </w:rPr>
        <w:t>About</w:t>
      </w:r>
      <w:proofErr w:type="gramEnd"/>
      <w:r w:rsidRPr="005E7744">
        <w:rPr>
          <w:rFonts w:ascii="Times New Roman" w:hAnsi="Times New Roman" w:cs="Times New Roman"/>
          <w:color w:val="000000" w:themeColor="text1"/>
          <w:sz w:val="24"/>
          <w:szCs w:val="24"/>
        </w:rPr>
        <w:t xml:space="preserve"> page, year established, reported startup output, sector foc</w:t>
      </w:r>
      <w:r w:rsidRPr="005E7744">
        <w:rPr>
          <w:rFonts w:ascii="Times New Roman" w:hAnsi="Times New Roman" w:cs="Times New Roman"/>
          <w:color w:val="000000" w:themeColor="text1"/>
          <w:sz w:val="24"/>
          <w:szCs w:val="24"/>
        </w:rPr>
        <w:t>us and partner information. The aim was to create a consistent master sheet before comparing candidates, rather than ranking names based only on prominence or search-result order.</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Candidate discovery and data collection relied primarily on official incubat</w:t>
      </w:r>
      <w:r w:rsidRPr="005E7744">
        <w:rPr>
          <w:rFonts w:ascii="Times New Roman" w:hAnsi="Times New Roman" w:cs="Times New Roman"/>
          <w:color w:val="000000" w:themeColor="text1"/>
          <w:sz w:val="24"/>
          <w:szCs w:val="24"/>
        </w:rPr>
        <w:t>or websites and their publicly available programme descriptions. The homepage was used to identify the organisation and understand its overall activity. The About page was used, where available, to find background information, institutional affiliation, pr</w:t>
      </w:r>
      <w:r w:rsidRPr="005E7744">
        <w:rPr>
          <w:rFonts w:ascii="Times New Roman" w:hAnsi="Times New Roman" w:cs="Times New Roman"/>
          <w:color w:val="000000" w:themeColor="text1"/>
          <w:sz w:val="24"/>
          <w:szCs w:val="24"/>
        </w:rPr>
        <w:t>ogramme scope and claims about startups or partners. Where the website supplied a count or amount, the original wording was retained in the source field and any numeric value extracted from it was treated as provisional until the unit, definition and repor</w:t>
      </w:r>
      <w:r w:rsidRPr="005E7744">
        <w:rPr>
          <w:rFonts w:ascii="Times New Roman" w:hAnsi="Times New Roman" w:cs="Times New Roman"/>
          <w:color w:val="000000" w:themeColor="text1"/>
          <w:sz w:val="24"/>
          <w:szCs w:val="24"/>
        </w:rPr>
        <w:t>ting period could be checked.</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I did not treat a search result, a partner logo, or a number mentioned without context as automatically comparable evidence. For example, “startups incubated”, “startups supported”, “startups graduated” and “startups funded” c</w:t>
      </w:r>
      <w:r w:rsidRPr="005E7744">
        <w:rPr>
          <w:rFonts w:ascii="Times New Roman" w:hAnsi="Times New Roman" w:cs="Times New Roman"/>
          <w:color w:val="000000" w:themeColor="text1"/>
          <w:sz w:val="24"/>
          <w:szCs w:val="24"/>
        </w:rPr>
        <w:t>an refer to different populations. They were kept distinct in the working data rather than assumed to mean the same thing.</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3. Methodology A — ranking by startup output</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 xml:space="preserve">The first methodology uses startup output as the main indicator of programme scale. For </w:t>
      </w:r>
      <w:r w:rsidRPr="005E7744">
        <w:rPr>
          <w:rFonts w:ascii="Times New Roman" w:hAnsi="Times New Roman" w:cs="Times New Roman"/>
          <w:color w:val="000000" w:themeColor="text1"/>
          <w:sz w:val="24"/>
          <w:szCs w:val="24"/>
        </w:rPr>
        <w:t xml:space="preserve">each candidate, I recorded the startup count reported in the source data and extracted a provisional numeric value where the wording allowed it. The ranking spreadsheet orders candidates by this numeric count in descending order. A programme with a larger </w:t>
      </w:r>
      <w:r w:rsidRPr="005E7744">
        <w:rPr>
          <w:rFonts w:ascii="Times New Roman" w:hAnsi="Times New Roman" w:cs="Times New Roman"/>
          <w:color w:val="000000" w:themeColor="text1"/>
          <w:sz w:val="24"/>
          <w:szCs w:val="24"/>
        </w:rPr>
        <w:t>reported count therefore receives a higher position under this method.</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This method is intuitive and easy to interpret: it asks how many startups the programme says it has incubated, supported or graduated. It is also limited by differences in reporting. So</w:t>
      </w:r>
      <w:r w:rsidRPr="005E7744">
        <w:rPr>
          <w:rFonts w:ascii="Times New Roman" w:hAnsi="Times New Roman" w:cs="Times New Roman"/>
          <w:color w:val="000000" w:themeColor="text1"/>
          <w:sz w:val="24"/>
          <w:szCs w:val="24"/>
        </w:rPr>
        <w:t xml:space="preserve">me organisations report a precise number, others use a plus sign (for example, “250+”), and others may use broad language such as “supported hundreds of startups”. A plus-sign value is best understood as a lower </w:t>
      </w:r>
      <w:r w:rsidRPr="005E7744">
        <w:rPr>
          <w:rFonts w:ascii="Times New Roman" w:hAnsi="Times New Roman" w:cs="Times New Roman"/>
          <w:color w:val="000000" w:themeColor="text1"/>
          <w:sz w:val="24"/>
          <w:szCs w:val="24"/>
        </w:rPr>
        <w:lastRenderedPageBreak/>
        <w:t>bound, not an exact count. Broad or ambiguou</w:t>
      </w:r>
      <w:r w:rsidRPr="005E7744">
        <w:rPr>
          <w:rFonts w:ascii="Times New Roman" w:hAnsi="Times New Roman" w:cs="Times New Roman"/>
          <w:color w:val="000000" w:themeColor="text1"/>
          <w:sz w:val="24"/>
          <w:szCs w:val="24"/>
        </w:rPr>
        <w:t>s descriptions should not be converted into precise numbers without a documented rule.</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For this reason, the numeric startup-count column is labelled provisional and should be read alongside its status or source-verification note. Before treating the orderi</w:t>
      </w:r>
      <w:r w:rsidRPr="005E7744">
        <w:rPr>
          <w:rFonts w:ascii="Times New Roman" w:hAnsi="Times New Roman" w:cs="Times New Roman"/>
          <w:color w:val="000000" w:themeColor="text1"/>
          <w:sz w:val="24"/>
          <w:szCs w:val="24"/>
        </w:rPr>
        <w:t>ng as a final evidence-based ranking, each count should be checked against the relevant official page and the date or period to which it refers. If two programmes report different definitions of output, the difference should be disclosed rather than hidden</w:t>
      </w:r>
      <w:r w:rsidRPr="005E7744">
        <w:rPr>
          <w:rFonts w:ascii="Times New Roman" w:hAnsi="Times New Roman" w:cs="Times New Roman"/>
          <w:color w:val="000000" w:themeColor="text1"/>
          <w:sz w:val="24"/>
          <w:szCs w:val="24"/>
        </w:rPr>
        <w:t xml:space="preserve"> by a numerical ranking.</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4. Methodology B — funding performance and ecosystem reach</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second methodology looks beyond the number of startups and considers the programme’s funding capacity and ecosystem reach. The working funding sheet records three indic</w:t>
      </w:r>
      <w:r w:rsidRPr="005E7744">
        <w:rPr>
          <w:rFonts w:ascii="Times New Roman" w:hAnsi="Times New Roman" w:cs="Times New Roman"/>
          <w:color w:val="000000" w:themeColor="text1"/>
          <w:sz w:val="24"/>
          <w:szCs w:val="24"/>
        </w:rPr>
        <w:t>ators: (a) the funding amount reported by the incubator, (b) the number of startups incubated or supported through funding, and (c) the number and names of listed funding partners. These indicators are complementary: the amount is a measure of reported fin</w:t>
      </w:r>
      <w:r w:rsidRPr="005E7744">
        <w:rPr>
          <w:rFonts w:ascii="Times New Roman" w:hAnsi="Times New Roman" w:cs="Times New Roman"/>
          <w:color w:val="000000" w:themeColor="text1"/>
          <w:sz w:val="24"/>
          <w:szCs w:val="24"/>
        </w:rPr>
        <w:t>ancial scale, funded-startup count reflects the reach of funding support, and partner count indicates the breadth of the programme’s funding network.</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funding amount was retained in its original form as well as being parsed into a provisional numeric fi</w:t>
      </w:r>
      <w:r w:rsidRPr="005E7744">
        <w:rPr>
          <w:rFonts w:ascii="Times New Roman" w:hAnsi="Times New Roman" w:cs="Times New Roman"/>
          <w:color w:val="000000" w:themeColor="text1"/>
          <w:sz w:val="24"/>
          <w:szCs w:val="24"/>
        </w:rPr>
        <w:t>eld. This is important because figures may use different units (rupees, lakh, crore or another denomination), and the phrase “funds allocated” may refer to a committed corpus, an announced fund, cumulative disbursements, or money mobilised from partners. T</w:t>
      </w:r>
      <w:r w:rsidRPr="005E7744">
        <w:rPr>
          <w:rFonts w:ascii="Times New Roman" w:hAnsi="Times New Roman" w:cs="Times New Roman"/>
          <w:color w:val="000000" w:themeColor="text1"/>
          <w:sz w:val="24"/>
          <w:szCs w:val="24"/>
        </w:rPr>
        <w:t>hese are not interchangeable. A number should not be compared across incubators until its unit, currency, time period and meaning have been confirmed.</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number of funded startups was recorded separately from total incubated or graduated startups. Partner</w:t>
      </w:r>
      <w:r w:rsidRPr="005E7744">
        <w:rPr>
          <w:rFonts w:ascii="Times New Roman" w:hAnsi="Times New Roman" w:cs="Times New Roman"/>
          <w:color w:val="000000" w:themeColor="text1"/>
          <w:sz w:val="24"/>
          <w:szCs w:val="24"/>
        </w:rPr>
        <w:t xml:space="preserve"> names were retained to make the partner count auditable. A list may contain government schemes, ministries, corporate donors, investors, universities or ecosystem organisations; these categories are not necessarily equivalent. Where the source list is dup</w:t>
      </w:r>
      <w:r w:rsidRPr="005E7744">
        <w:rPr>
          <w:rFonts w:ascii="Times New Roman" w:hAnsi="Times New Roman" w:cs="Times New Roman"/>
          <w:color w:val="000000" w:themeColor="text1"/>
          <w:sz w:val="24"/>
          <w:szCs w:val="24"/>
        </w:rPr>
        <w:t>licated, incomplete or combines different partner types, the count should be treated as a provisional measure of network breadth rather than a definitive measure of funding quality.</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For a final composite ranking under Methodology B, I would standardise the</w:t>
      </w:r>
      <w:r w:rsidRPr="005E7744">
        <w:rPr>
          <w:rFonts w:ascii="Times New Roman" w:hAnsi="Times New Roman" w:cs="Times New Roman"/>
          <w:color w:val="000000" w:themeColor="text1"/>
          <w:sz w:val="24"/>
          <w:szCs w:val="24"/>
        </w:rPr>
        <w:t xml:space="preserve"> three indicators before combining them, because funding amounts and partner counts use different scales. A transparent option is to convert each verified indicator to a percentile rank and then average the available percentile ranks with equal weights. Th</w:t>
      </w:r>
      <w:r w:rsidRPr="005E7744">
        <w:rPr>
          <w:rFonts w:ascii="Times New Roman" w:hAnsi="Times New Roman" w:cs="Times New Roman"/>
          <w:color w:val="000000" w:themeColor="text1"/>
          <w:sz w:val="24"/>
          <w:szCs w:val="24"/>
        </w:rPr>
        <w:t>e equal-weight rule avoids quietly giving one measure more influence simply because it is expressed in larger numbers. If a composite score is used, the spreadsheet should show the underlying values, standardised scores, weights and final score. Where a fu</w:t>
      </w:r>
      <w:r w:rsidRPr="005E7744">
        <w:rPr>
          <w:rFonts w:ascii="Times New Roman" w:hAnsi="Times New Roman" w:cs="Times New Roman"/>
          <w:color w:val="000000" w:themeColor="text1"/>
          <w:sz w:val="24"/>
          <w:szCs w:val="24"/>
        </w:rPr>
        <w:t>nding figure cannot be verified or its unit is unclear, it should be excluded from the composite or marked missing—not silently treated as comparable.</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 xml:space="preserve">Important status </w:t>
      </w:r>
      <w:proofErr w:type="gramStart"/>
      <w:r w:rsidRPr="005E7744">
        <w:rPr>
          <w:rFonts w:ascii="Times New Roman" w:hAnsi="Times New Roman" w:cs="Times New Roman"/>
          <w:color w:val="000000" w:themeColor="text1"/>
          <w:sz w:val="24"/>
          <w:szCs w:val="24"/>
        </w:rPr>
        <w:t>note</w:t>
      </w:r>
      <w:proofErr w:type="gramEnd"/>
      <w:r w:rsidRPr="005E7744">
        <w:rPr>
          <w:rFonts w:ascii="Times New Roman" w:hAnsi="Times New Roman" w:cs="Times New Roman"/>
          <w:color w:val="000000" w:themeColor="text1"/>
          <w:sz w:val="24"/>
          <w:szCs w:val="24"/>
        </w:rPr>
        <w:t>: the current working files contain extracted and provisional funding fields, but th</w:t>
      </w:r>
      <w:r w:rsidRPr="005E7744">
        <w:rPr>
          <w:rFonts w:ascii="Times New Roman" w:hAnsi="Times New Roman" w:cs="Times New Roman"/>
          <w:color w:val="000000" w:themeColor="text1"/>
          <w:sz w:val="24"/>
          <w:szCs w:val="24"/>
        </w:rPr>
        <w:t xml:space="preserve">e presence of those fields alone does not prove that a final, fully verified composite funding ranking has been completed. Before submission, confirm that the workbook includes the final scoring formula and rank, or describe Methodology B as a comparative </w:t>
      </w:r>
      <w:r w:rsidRPr="005E7744">
        <w:rPr>
          <w:rFonts w:ascii="Times New Roman" w:hAnsi="Times New Roman" w:cs="Times New Roman"/>
          <w:color w:val="000000" w:themeColor="text1"/>
          <w:sz w:val="24"/>
          <w:szCs w:val="24"/>
        </w:rPr>
        <w:t>funding-and-network assessment rather than claiming a completed composite ranking.</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5. How the final shortlist of 20 should be justified</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top-20 shortlist should be explained as the result of a structured screening exercise, not as an official national l</w:t>
      </w:r>
      <w:r w:rsidRPr="005E7744">
        <w:rPr>
          <w:rFonts w:ascii="Times New Roman" w:hAnsi="Times New Roman" w:cs="Times New Roman"/>
          <w:color w:val="000000" w:themeColor="text1"/>
          <w:sz w:val="24"/>
          <w:szCs w:val="24"/>
        </w:rPr>
        <w:t xml:space="preserve">eague table. First, candidates were identified as Indian startup incubator programmes with an identifiable programme or institutional presence. Second, the available startup-output and </w:t>
      </w:r>
      <w:r w:rsidRPr="005E7744">
        <w:rPr>
          <w:rFonts w:ascii="Times New Roman" w:hAnsi="Times New Roman" w:cs="Times New Roman"/>
          <w:color w:val="000000" w:themeColor="text1"/>
          <w:sz w:val="24"/>
          <w:szCs w:val="24"/>
        </w:rPr>
        <w:lastRenderedPageBreak/>
        <w:t>funding/network indicators were collected. Third, candidates were compa</w:t>
      </w:r>
      <w:r w:rsidRPr="005E7744">
        <w:rPr>
          <w:rFonts w:ascii="Times New Roman" w:hAnsi="Times New Roman" w:cs="Times New Roman"/>
          <w:color w:val="000000" w:themeColor="text1"/>
          <w:sz w:val="24"/>
          <w:szCs w:val="24"/>
        </w:rPr>
        <w:t>red under the two methods. Finally, the selected 20 were retained because they had sufficient publicly accessible information to be included in the comparison.</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two methods may produce different orders, and that is expected. Startup output measures volu</w:t>
      </w:r>
      <w:r w:rsidRPr="005E7744">
        <w:rPr>
          <w:rFonts w:ascii="Times New Roman" w:hAnsi="Times New Roman" w:cs="Times New Roman"/>
          <w:color w:val="000000" w:themeColor="text1"/>
          <w:sz w:val="24"/>
          <w:szCs w:val="24"/>
        </w:rPr>
        <w:t>me, while funding performance and ecosystem reach measure financial support and connections. I would present both rankings side by side and explain any major differences with the source evidence. I would not combine the two rankings into one overall league</w:t>
      </w:r>
      <w:r w:rsidRPr="005E7744">
        <w:rPr>
          <w:rFonts w:ascii="Times New Roman" w:hAnsi="Times New Roman" w:cs="Times New Roman"/>
          <w:color w:val="000000" w:themeColor="text1"/>
          <w:sz w:val="24"/>
          <w:szCs w:val="24"/>
        </w:rPr>
        <w:t xml:space="preserve"> table unless a weighting rule had been specified in advance and applied consistently.</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A methodological limitation is that the available candidate set is not guaranteed to include every incubator in India. Therefore, “top 20” means the 20 programmes identi</w:t>
      </w:r>
      <w:r w:rsidRPr="005E7744">
        <w:rPr>
          <w:rFonts w:ascii="Times New Roman" w:hAnsi="Times New Roman" w:cs="Times New Roman"/>
          <w:color w:val="000000" w:themeColor="text1"/>
          <w:sz w:val="24"/>
          <w:szCs w:val="24"/>
        </w:rPr>
        <w:t>fied and compared within this documented search, not a claim that every Indian incubator was exhaustively enumerated. The final write-up should state this scope clearly.</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6. Cleaning, verification and treatment of missing information</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raw workbook was re</w:t>
      </w:r>
      <w:r w:rsidRPr="005E7744">
        <w:rPr>
          <w:rFonts w:ascii="Times New Roman" w:hAnsi="Times New Roman" w:cs="Times New Roman"/>
          <w:color w:val="000000" w:themeColor="text1"/>
          <w:sz w:val="24"/>
          <w:szCs w:val="24"/>
        </w:rPr>
        <w:t>tained and a separate cleaned/audit workbook was used to add provisional numeric fields and verification statuses. This separation helps preserve what was originally reported and makes later corrections traceable. Numeric extraction was not treated as vali</w:t>
      </w:r>
      <w:r w:rsidRPr="005E7744">
        <w:rPr>
          <w:rFonts w:ascii="Times New Roman" w:hAnsi="Times New Roman" w:cs="Times New Roman"/>
          <w:color w:val="000000" w:themeColor="text1"/>
          <w:sz w:val="24"/>
          <w:szCs w:val="24"/>
        </w:rPr>
        <w:t>dation: a value can be parsed correctly from text while still being ambiguous, outdated or reported on a different basis.</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I used review/status fields to distinguish values that appear numeric from values that still need source verification. Counts expresse</w:t>
      </w:r>
      <w:r w:rsidRPr="005E7744">
        <w:rPr>
          <w:rFonts w:ascii="Times New Roman" w:hAnsi="Times New Roman" w:cs="Times New Roman"/>
          <w:color w:val="000000" w:themeColor="text1"/>
          <w:sz w:val="24"/>
          <w:szCs w:val="24"/>
        </w:rPr>
        <w:t>d as “X+” should be interpreted as minimum reported values. Missing URLs or missing source information were recorded as missing, not filled with guesses. Partner counts should be checked against partner names, and years established should be checked agains</w:t>
      </w:r>
      <w:r w:rsidRPr="005E7744">
        <w:rPr>
          <w:rFonts w:ascii="Times New Roman" w:hAnsi="Times New Roman" w:cs="Times New Roman"/>
          <w:color w:val="000000" w:themeColor="text1"/>
          <w:sz w:val="24"/>
          <w:szCs w:val="24"/>
        </w:rPr>
        <w:t>t the programme’s own history page where possible.</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 xml:space="preserve">Before publishing the final ranking, the most important checks are: (1) ensure each row’s website and About URL belong to the same incubator; (2) confirm the reported startup count and its definition; (3) </w:t>
      </w:r>
      <w:r w:rsidRPr="005E7744">
        <w:rPr>
          <w:rFonts w:ascii="Times New Roman" w:hAnsi="Times New Roman" w:cs="Times New Roman"/>
          <w:color w:val="000000" w:themeColor="text1"/>
          <w:sz w:val="24"/>
          <w:szCs w:val="24"/>
        </w:rPr>
        <w:t>confirm the units and meaning of each funding figure; (4) check that partner counts are not inflated by duplicate or repeated entries; and (5) ensure that each ranking is calculated from the intended column and not from an unrelated or misaligned row.</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7. C</w:t>
      </w:r>
      <w:r w:rsidRPr="005E7744">
        <w:rPr>
          <w:rFonts w:ascii="Times New Roman" w:hAnsi="Times New Roman" w:cs="Times New Roman"/>
          <w:color w:val="000000" w:themeColor="text1"/>
          <w:sz w:val="24"/>
          <w:szCs w:val="24"/>
        </w:rPr>
        <w:t>urrent and archived website collection</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 xml:space="preserve">To preserve evidence of how incubators described themselves over time, I recorded each incubator’s homepage URL and About-page URL and attempted to collect both current pages and archived copies from the Internet </w:t>
      </w:r>
      <w:r w:rsidRPr="005E7744">
        <w:rPr>
          <w:rFonts w:ascii="Times New Roman" w:hAnsi="Times New Roman" w:cs="Times New Roman"/>
          <w:color w:val="000000" w:themeColor="text1"/>
          <w:sz w:val="24"/>
          <w:szCs w:val="24"/>
        </w:rPr>
        <w:t>Archive’s Wayback Machine. The requested historical window runs from January 2022 through September 2026, inclusive. That is 57 monthly periods. With 20 incubators and two page types, the full search grid contains 20 × 2 × 57 = 2,280 possible incubator-pag</w:t>
      </w:r>
      <w:r w:rsidRPr="005E7744">
        <w:rPr>
          <w:rFonts w:ascii="Times New Roman" w:hAnsi="Times New Roman" w:cs="Times New Roman"/>
          <w:color w:val="000000" w:themeColor="text1"/>
          <w:sz w:val="24"/>
          <w:szCs w:val="24"/>
        </w:rPr>
        <w:t>e-month combinations.</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For each combination, the archive index records the incubator, page type, target month, selected capture timestamp, archived URL and status. The intended selection rule is to use the earliest available capture within each calendar mon</w:t>
      </w:r>
      <w:r w:rsidRPr="005E7744">
        <w:rPr>
          <w:rFonts w:ascii="Times New Roman" w:hAnsi="Times New Roman" w:cs="Times New Roman"/>
          <w:color w:val="000000" w:themeColor="text1"/>
          <w:sz w:val="24"/>
          <w:szCs w:val="24"/>
        </w:rPr>
        <w:t>th, so the monthly series is generated consistently rather than choosing a capture based on how useful it looks. If a month has no available capture, it is logged as “No capture found”; if the source URL is missing, it is logged as “Missing URL”. The scrip</w:t>
      </w:r>
      <w:r w:rsidRPr="005E7744">
        <w:rPr>
          <w:rFonts w:ascii="Times New Roman" w:hAnsi="Times New Roman" w:cs="Times New Roman"/>
          <w:color w:val="000000" w:themeColor="text1"/>
          <w:sz w:val="24"/>
          <w:szCs w:val="24"/>
        </w:rPr>
        <w:t>t then downloads the selected archived HTML and records the outcome, local file path, file size and any error in a download log.</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Current pages were collected separately and recorded in a current-pages log. This makes it possible to distinguish a failure to</w:t>
      </w:r>
      <w:r w:rsidRPr="005E7744">
        <w:rPr>
          <w:rFonts w:ascii="Times New Roman" w:hAnsi="Times New Roman" w:cs="Times New Roman"/>
          <w:color w:val="000000" w:themeColor="text1"/>
          <w:sz w:val="24"/>
          <w:szCs w:val="24"/>
        </w:rPr>
        <w:t xml:space="preserve"> access a current website from a lack of an archived capture. For example, some sites returned HTTP 403 or HTTP 406 responses, and one About-page URL was missing. These </w:t>
      </w:r>
      <w:r w:rsidRPr="005E7744">
        <w:rPr>
          <w:rFonts w:ascii="Times New Roman" w:hAnsi="Times New Roman" w:cs="Times New Roman"/>
          <w:color w:val="000000" w:themeColor="text1"/>
          <w:sz w:val="24"/>
          <w:szCs w:val="24"/>
        </w:rPr>
        <w:lastRenderedPageBreak/>
        <w:t>outcomes do not necessarily mean the website or page does not exist; they mean that the</w:t>
      </w:r>
      <w:r w:rsidRPr="005E7744">
        <w:rPr>
          <w:rFonts w:ascii="Times New Roman" w:hAnsi="Times New Roman" w:cs="Times New Roman"/>
          <w:color w:val="000000" w:themeColor="text1"/>
          <w:sz w:val="24"/>
          <w:szCs w:val="24"/>
        </w:rPr>
        <w:t xml:space="preserve"> automated request did not retrieve it successfully under the conditions used.</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archive index in the current project contains 2,280 rows: 983 marked “Capture found”, 1,240 marked “No capture found”, and 57 marked “Missing URL”. The download log contains</w:t>
      </w:r>
      <w:r w:rsidRPr="005E7744">
        <w:rPr>
          <w:rFonts w:ascii="Times New Roman" w:hAnsi="Times New Roman" w:cs="Times New Roman"/>
          <w:color w:val="000000" w:themeColor="text1"/>
          <w:sz w:val="24"/>
          <w:szCs w:val="24"/>
        </w:rPr>
        <w:t xml:space="preserve"> 982 successful downloads. The difference between capture records and successful downloads should be reconciled in the final README; a capture being listed does not guarantee that the corresponding file was saved successfully. The verification note reports</w:t>
      </w:r>
      <w:r w:rsidRPr="005E7744">
        <w:rPr>
          <w:rFonts w:ascii="Times New Roman" w:hAnsi="Times New Roman" w:cs="Times New Roman"/>
          <w:color w:val="000000" w:themeColor="text1"/>
          <w:sz w:val="24"/>
          <w:szCs w:val="24"/>
        </w:rPr>
        <w:t xml:space="preserve"> no failures under the basic HTML checks used, but this is not the same as confirming that every page is complete, readable, or semantically correct. These figures describe the current run and may change if the scraper is rerun.</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8. Reproducibility and file</w:t>
      </w:r>
      <w:r w:rsidRPr="005E7744">
        <w:rPr>
          <w:rFonts w:ascii="Times New Roman" w:hAnsi="Times New Roman" w:cs="Times New Roman"/>
          <w:color w:val="000000" w:themeColor="text1"/>
          <w:sz w:val="24"/>
          <w:szCs w:val="24"/>
        </w:rPr>
        <w:t xml:space="preserve"> organisation</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scripts separate the workflow into manageable steps: checking URLs and setup, building the monthly capture index, downloading current pages, downloading archived pages, summarising the results and performing basic verification. Logs are i</w:t>
      </w:r>
      <w:r w:rsidRPr="005E7744">
        <w:rPr>
          <w:rFonts w:ascii="Times New Roman" w:hAnsi="Times New Roman" w:cs="Times New Roman"/>
          <w:color w:val="000000" w:themeColor="text1"/>
          <w:sz w:val="24"/>
          <w:szCs w:val="24"/>
        </w:rPr>
        <w:t>ncluded so that a reviewer can see which URLs were attempted and which captures were saved. The code should be run from the project directory, with Python 3 and the dependencies stated in the README. The script outputs should be treated as a reproducible c</w:t>
      </w:r>
      <w:r w:rsidRPr="005E7744">
        <w:rPr>
          <w:rFonts w:ascii="Times New Roman" w:hAnsi="Times New Roman" w:cs="Times New Roman"/>
          <w:color w:val="000000" w:themeColor="text1"/>
          <w:sz w:val="24"/>
          <w:szCs w:val="24"/>
        </w:rPr>
        <w:t>ollection attempt, not a guarantee that every external site will respond identically on every run.</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9. Limitations and interpretation</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There is no single universally accepted public measure of the “largest” incubator. The two methods capture different dimens</w:t>
      </w:r>
      <w:r w:rsidRPr="005E7744">
        <w:rPr>
          <w:rFonts w:ascii="Times New Roman" w:hAnsi="Times New Roman" w:cs="Times New Roman"/>
          <w:color w:val="000000" w:themeColor="text1"/>
          <w:sz w:val="24"/>
          <w:szCs w:val="24"/>
        </w:rPr>
        <w:t>ions and can produce different rankings.</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Official websites may use different definitions for startups incubated, startups graduated, startups supported and startups funded.</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Funding figures may refer to different units, periods and concepts; ambiguous value</w:t>
      </w:r>
      <w:r w:rsidRPr="005E7744">
        <w:rPr>
          <w:rFonts w:ascii="Times New Roman" w:hAnsi="Times New Roman" w:cs="Times New Roman"/>
          <w:color w:val="000000" w:themeColor="text1"/>
          <w:sz w:val="24"/>
          <w:szCs w:val="24"/>
        </w:rPr>
        <w:t>s require verification before ranking.</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Partner lists may mix investors, government programmes, donors, academic institutions and ecosystem organisations.</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Some current sites block automated requests or have missing page URLs; some months have no Wayback cap</w:t>
      </w:r>
      <w:r w:rsidRPr="005E7744">
        <w:rPr>
          <w:rFonts w:ascii="Times New Roman" w:hAnsi="Times New Roman" w:cs="Times New Roman"/>
          <w:color w:val="000000" w:themeColor="text1"/>
          <w:sz w:val="24"/>
          <w:szCs w:val="24"/>
        </w:rPr>
        <w:t>ture.</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Basic HTML checks confirm only limited technical properties and do not establish that all page content was captured correctly.</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The candidate list is a documented shortlist, not an exhaustive census of every incubator in India.</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10. Conclusion</w:t>
      </w:r>
    </w:p>
    <w:p w:rsidR="00780937" w:rsidRPr="005E7744" w:rsidRDefault="005E7744" w:rsidP="005E7744">
      <w:pPr>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I used t</w:t>
      </w:r>
      <w:r w:rsidRPr="005E7744">
        <w:rPr>
          <w:rFonts w:ascii="Times New Roman" w:hAnsi="Times New Roman" w:cs="Times New Roman"/>
          <w:color w:val="000000" w:themeColor="text1"/>
          <w:sz w:val="24"/>
          <w:szCs w:val="24"/>
        </w:rPr>
        <w:t>wo complementary approaches because startup output alone cannot describe an incubator’s full scale. The first approach ranks programmes by reported startup output. The second compares reported funding, funded-startup reach and partner network breadth. I re</w:t>
      </w:r>
      <w:r w:rsidRPr="005E7744">
        <w:rPr>
          <w:rFonts w:ascii="Times New Roman" w:hAnsi="Times New Roman" w:cs="Times New Roman"/>
          <w:color w:val="000000" w:themeColor="text1"/>
          <w:sz w:val="24"/>
          <w:szCs w:val="24"/>
        </w:rPr>
        <w:t>tained original values, recorded provisional numeric extractions and logged collection gaps so that uncertainty remains visible. The rankings should be interpreted as evidence-based comparisons of the programmes and public data located in this exercise, su</w:t>
      </w:r>
      <w:r w:rsidRPr="005E7744">
        <w:rPr>
          <w:rFonts w:ascii="Times New Roman" w:hAnsi="Times New Roman" w:cs="Times New Roman"/>
          <w:color w:val="000000" w:themeColor="text1"/>
          <w:sz w:val="24"/>
          <w:szCs w:val="24"/>
        </w:rPr>
        <w:t>bject to the verification and comparability limitations described above.</w:t>
      </w:r>
    </w:p>
    <w:p w:rsidR="00780937" w:rsidRPr="005E7744" w:rsidRDefault="005E7744" w:rsidP="005E7744">
      <w:pPr>
        <w:pStyle w:val="Heading1"/>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Pre-submission checks</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Verify that the incubator name, homepage URL and About URL align in every row.</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Verify the top-20 ranking order against the intended metric; correct any URL or ro</w:t>
      </w:r>
      <w:r w:rsidRPr="005E7744">
        <w:rPr>
          <w:rFonts w:ascii="Times New Roman" w:hAnsi="Times New Roman" w:cs="Times New Roman"/>
          <w:color w:val="000000" w:themeColor="text1"/>
          <w:sz w:val="24"/>
          <w:szCs w:val="24"/>
        </w:rPr>
        <w:t>w misalignment.</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Confirm the funding units and whether figures are committed, allocated, mobilised or disbursed.</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lastRenderedPageBreak/>
        <w:t>If presenting a composite Methodology B ranking, include the formula, weights, standardised scores and final rank.</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Ensure the README matches the</w:t>
      </w:r>
      <w:r w:rsidRPr="005E7744">
        <w:rPr>
          <w:rFonts w:ascii="Times New Roman" w:hAnsi="Times New Roman" w:cs="Times New Roman"/>
          <w:color w:val="000000" w:themeColor="text1"/>
          <w:sz w:val="24"/>
          <w:szCs w:val="24"/>
        </w:rPr>
        <w:t xml:space="preserve"> actual scripts and exact number of downloaded files in the submitted repository.</w:t>
      </w:r>
    </w:p>
    <w:p w:rsidR="00780937" w:rsidRPr="005E7744" w:rsidRDefault="005E7744" w:rsidP="005E7744">
      <w:pPr>
        <w:pStyle w:val="ListBullet"/>
        <w:spacing w:before="10" w:after="10"/>
        <w:rPr>
          <w:rFonts w:ascii="Times New Roman" w:hAnsi="Times New Roman" w:cs="Times New Roman"/>
          <w:color w:val="000000" w:themeColor="text1"/>
          <w:sz w:val="24"/>
          <w:szCs w:val="24"/>
        </w:rPr>
      </w:pPr>
      <w:r w:rsidRPr="005E7744">
        <w:rPr>
          <w:rFonts w:ascii="Times New Roman" w:hAnsi="Times New Roman" w:cs="Times New Roman"/>
          <w:color w:val="000000" w:themeColor="text1"/>
          <w:sz w:val="24"/>
          <w:szCs w:val="24"/>
        </w:rPr>
        <w:t>Do not describe blocked or missing pages as successfully downloaded.</w:t>
      </w:r>
    </w:p>
    <w:sectPr w:rsidR="00780937" w:rsidRPr="005E774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7744"/>
    <w:rsid w:val="007809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027F3"/>
  <w14:defaultImageDpi w14:val="300"/>
  <w15:docId w15:val="{A5FED19E-7760-41E2-A67D-8C035280E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F36CA-1044-476B-A698-2072D5887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2026-10-19T08:18:00Z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0cf9c9502e0ebe2df287870a5a6aa9d03f3e02b7f317f523ec50cd117ac088af</vt:lpwstr>
  </property>
</Properties>
</file>