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Scaling High-Impact Nutrition Interventions</w:t>
      </w:r>
    </w:p>
    <w:p>
      <w:pPr>
        <w:pStyle w:val="Subtitle"/>
      </w:pPr>
      <w:r>
        <w:t xml:space="preserve">A PICOS-structured evidence and implementation review for CARE and IA partners — CMAM, Breastfeeding Support, and Antenatal MMS</w:t>
      </w:r>
    </w:p>
    <w:p>
      <w:pPr>
        <w:pStyle w:val="Date"/>
      </w:pPr>
      <w:r>
        <w:t xml:space="preserve">August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7" w:name="executive-summary"/>
    <w:p>
      <w:pPr>
        <w:pStyle w:val="Heading1"/>
      </w:pPr>
      <w:r>
        <w:t xml:space="preserve">1. Executive summary</w:t>
      </w:r>
    </w:p>
    <w:bookmarkStart w:id="9" w:name="what-was-asked"/>
    <w:p>
      <w:pPr>
        <w:pStyle w:val="Heading2"/>
      </w:pPr>
      <w:r>
        <w:t xml:space="preserve">1.1 What was asked</w:t>
      </w:r>
    </w:p>
    <w:p>
      <w:pPr>
        <w:pStyle w:val="FirstParagraph"/>
      </w:pPr>
      <w:r>
        <w:t xml:space="preserve">CARE and IA partners — Save the Children and Mercy Corps — reviewed an initial 15-intervention synthesis and narrowed it to three interventions for a deeper, PICOS-structured review:</w:t>
      </w:r>
      <w:r>
        <w:t xml:space="preserve"> </w:t>
      </w:r>
      <w:r>
        <w:rPr>
          <w:b/>
          <w:bCs/>
        </w:rPr>
        <w:t xml:space="preserve">community-based management of acute malnutrition (CMAM)</w:t>
      </w:r>
      <w:r>
        <w:t xml:space="preserve">,</w:t>
      </w:r>
      <w:r>
        <w:t xml:space="preserve"> </w:t>
      </w:r>
      <w:r>
        <w:rPr>
          <w:b/>
          <w:bCs/>
        </w:rPr>
        <w:t xml:space="preserve">breastfeeding promotion and support</w:t>
      </w:r>
      <w:r>
        <w:t xml:space="preserve">, and</w:t>
      </w:r>
      <w:r>
        <w:t xml:space="preserve"> </w:t>
      </w:r>
      <w:r>
        <w:rPr>
          <w:b/>
          <w:bCs/>
        </w:rPr>
        <w:t xml:space="preserve">antenatal multiple micronutrient supplementation (MMS)</w:t>
      </w:r>
      <w:r>
        <w:t xml:space="preserve">.</w:t>
      </w:r>
    </w:p>
    <w:p>
      <w:pPr>
        <w:pStyle w:val="BodyText"/>
      </w:pPr>
      <w:r>
        <w:t xml:space="preserve">The brief was explicit that the review should not stop at efficacy. As Save the Children put it, these are already known to be high-impact interventions, yet global targets are still being missed because governments, NGOs and donors have not solved</w:t>
      </w:r>
      <w:r>
        <w:t xml:space="preserve"> </w:t>
      </w:r>
      <w:r>
        <w:rPr>
          <w:i/>
          <w:iCs/>
        </w:rPr>
        <w:t xml:space="preserve">sustainable operationalization</w:t>
      </w:r>
      <w:r>
        <w:t xml:space="preserve">.</w:t>
      </w:r>
      <w:r>
        <w:t xml:space="preserve"> </w:t>
      </w:r>
      <w:r>
        <w:rPr>
          <w:b/>
          <w:bCs/>
        </w:rPr>
        <w:t xml:space="preserve">Adherence and coverage, not efficacy, are the binding constraint.</w:t>
      </w:r>
    </w:p>
    <w:p>
      <w:pPr>
        <w:pStyle w:val="BodyText"/>
      </w:pPr>
      <w:r>
        <w:t xml:space="preserve">The purpose of this report is to put the literature in front of partners — the reading that CARE and IA teams do not have the time or capacity to do themselves — organised so that it answers six questions:</w:t>
      </w:r>
    </w:p>
    <w:p>
      <w:pPr>
        <w:pStyle w:val="Compact"/>
        <w:numPr>
          <w:ilvl w:val="0"/>
          <w:numId w:val="1001"/>
        </w:numPr>
      </w:pPr>
      <w:r>
        <w:t xml:space="preserve">What is most effective, according to the research?</w:t>
      </w:r>
    </w:p>
    <w:p>
      <w:pPr>
        <w:pStyle w:val="Compact"/>
        <w:numPr>
          <w:ilvl w:val="0"/>
          <w:numId w:val="1001"/>
        </w:numPr>
      </w:pPr>
      <w:r>
        <w:t xml:space="preserve">Can we distil that into a small number of concrete alternatives?</w:t>
      </w:r>
    </w:p>
    <w:p>
      <w:pPr>
        <w:pStyle w:val="Compact"/>
        <w:numPr>
          <w:ilvl w:val="0"/>
          <w:numId w:val="1001"/>
        </w:numPr>
      </w:pPr>
      <w:r>
        <w:t xml:space="preserve">Do we know how to optimally combine interventions?</w:t>
      </w:r>
    </w:p>
    <w:p>
      <w:pPr>
        <w:pStyle w:val="Compact"/>
        <w:numPr>
          <w:ilvl w:val="0"/>
          <w:numId w:val="1001"/>
        </w:numPr>
      </w:pPr>
      <w:r>
        <w:t xml:space="preserve">Is there evidence for choosing a country — including where government barriers are lowest?</w:t>
      </w:r>
    </w:p>
    <w:p>
      <w:pPr>
        <w:pStyle w:val="Compact"/>
        <w:numPr>
          <w:ilvl w:val="0"/>
          <w:numId w:val="1001"/>
        </w:numPr>
      </w:pPr>
      <w:r>
        <w:t xml:space="preserve">Is there evidence that programmes can leverage existing government infrastructure?</w:t>
      </w:r>
    </w:p>
    <w:p>
      <w:pPr>
        <w:pStyle w:val="Compact"/>
        <w:numPr>
          <w:ilvl w:val="0"/>
          <w:numId w:val="1001"/>
        </w:numPr>
      </w:pPr>
      <w:r>
        <w:t xml:space="preserve">Is there a single outcome we would put in front of CARE’s CEO?</w:t>
      </w:r>
    </w:p>
    <w:p>
      <w:pPr>
        <w:pStyle w:val="FirstParagraph"/>
      </w:pPr>
      <w:r>
        <w:t xml:space="preserve">§1.8 maps each question to where it is answered, including the two places where the honest answer is that the evidence does not yet support one.</w:t>
      </w:r>
    </w:p>
    <w:bookmarkEnd w:id="9"/>
    <w:bookmarkStart w:id="10" w:name="what-we-found"/>
    <w:p>
      <w:pPr>
        <w:pStyle w:val="Heading2"/>
      </w:pPr>
      <w:r>
        <w:t xml:space="preserve">1.2 What we found</w:t>
      </w:r>
    </w:p>
    <w:p>
      <w:pPr>
        <w:pStyle w:val="FirstParagraph"/>
      </w:pPr>
      <w:r>
        <w:rPr>
          <w:b/>
          <w:bCs/>
        </w:rPr>
        <w:t xml:space="preserve">All three interventions work. None of them fails on evidence.</w:t>
      </w:r>
      <w:r>
        <w:t xml:space="preserve"> </w:t>
      </w:r>
      <w:r>
        <w:t xml:space="preserve">They differ in how firmly that is established — CMAM’s literature compares treatments only against other treatments, never against nothing, because withholding care would be unethical, so the size of its benefit has never been measured. That is a constraint on the evidence, not a doubt about the intervention.</w:t>
      </w:r>
    </w:p>
    <w:p>
      <w:pPr>
        <w:pStyle w:val="BodyText"/>
      </w:pPr>
      <w:r>
        <w:rPr>
          <w:b/>
          <w:bCs/>
        </w:rPr>
        <w:t xml:space="preserve">In every case, the gap between trial performance and programme performance is larger than the gap between the intervention and its comparator.</w:t>
      </w:r>
      <w:r>
        <w:t xml:space="preserve"> </w:t>
      </w:r>
      <w:r>
        <w:t xml:space="preserve">That is the operationalization gap partners identified, and this review quantifies it:</w:t>
      </w:r>
    </w:p>
    <w:p>
      <w:pPr>
        <w:pStyle w:val="Compact"/>
        <w:numPr>
          <w:ilvl w:val="0"/>
          <w:numId w:val="1002"/>
        </w:numPr>
      </w:pPr>
      <w:r>
        <w:rPr>
          <w:b/>
          <w:bCs/>
        </w:rPr>
        <w:t xml:space="preserve">CMAM</w:t>
      </w:r>
      <w:r>
        <w:t xml:space="preserve"> </w:t>
      </w:r>
      <w:r>
        <w:t xml:space="preserve">reached</w:t>
      </w:r>
      <w:r>
        <w:t xml:space="preserve"> </w:t>
      </w:r>
      <w:r>
        <w:rPr>
          <w:b/>
          <w:bCs/>
        </w:rPr>
        <w:t xml:space="preserve">38.3%</w:t>
      </w:r>
      <w:r>
        <w:t xml:space="preserve"> </w:t>
      </w:r>
      <w:r>
        <w:t xml:space="preserve">of cases across 44 assessments in 21 countries, and recovers about</w:t>
      </w:r>
      <w:r>
        <w:t xml:space="preserve"> </w:t>
      </w:r>
      <w:r>
        <w:rPr>
          <w:b/>
          <w:bCs/>
        </w:rPr>
        <w:t xml:space="preserve">71%</w:t>
      </w:r>
      <w:r>
        <w:t xml:space="preserve"> </w:t>
      </w:r>
      <w:r>
        <w:t xml:space="preserve">of the children it treats against the 75% humanitarian minimum (the Sphere standard). In Ethiopia — the only country running it at national scale — recovery</w:t>
      </w:r>
      <w:r>
        <w:t xml:space="preserve"> </w:t>
      </w:r>
      <w:r>
        <w:rPr>
          <w:i/>
          <w:iCs/>
        </w:rPr>
        <w:t xml:space="preserve">fell</w:t>
      </w:r>
      <w:r>
        <w:t xml:space="preserve"> </w:t>
      </w:r>
      <w:r>
        <w:t xml:space="preserve">as the programme matured, from 72% to 69%.</w:t>
      </w:r>
    </w:p>
    <w:p>
      <w:pPr>
        <w:pStyle w:val="Compact"/>
        <w:numPr>
          <w:ilvl w:val="0"/>
          <w:numId w:val="1002"/>
        </w:numPr>
      </w:pPr>
      <w:r>
        <w:rPr>
          <w:b/>
          <w:bCs/>
        </w:rPr>
        <w:t xml:space="preserve">MMS</w:t>
      </w:r>
      <w:r>
        <w:t xml:space="preserve">: where adherence has been pooled, in Ethiopia,</w:t>
      </w:r>
      <w:r>
        <w:t xml:space="preserve"> </w:t>
      </w:r>
      <w:r>
        <w:rPr>
          <w:b/>
          <w:bCs/>
        </w:rPr>
        <w:t xml:space="preserve">41–46%</w:t>
      </w:r>
      <w:r>
        <w:t xml:space="preserve"> </w:t>
      </w:r>
      <w:r>
        <w:t xml:space="preserve">of women took supplements as recommended. Adherence elsewhere ranges much higher, so this is a documented problem rather than a universal rate.</w:t>
      </w:r>
    </w:p>
    <w:p>
      <w:pPr>
        <w:pStyle w:val="Compact"/>
        <w:numPr>
          <w:ilvl w:val="0"/>
          <w:numId w:val="1002"/>
        </w:numPr>
      </w:pPr>
      <w:r>
        <w:rPr>
          <w:b/>
          <w:bCs/>
        </w:rPr>
        <w:t xml:space="preserve">Breastfeeding</w:t>
      </w:r>
      <w:r>
        <w:t xml:space="preserve"> </w:t>
      </w:r>
      <w:r>
        <w:t xml:space="preserve">coverage sits below the 70% global target almost everywhere measured.</w:t>
      </w:r>
    </w:p>
    <w:p>
      <w:pPr>
        <w:pStyle w:val="FirstParagraph"/>
      </w:pPr>
      <w:r>
        <w:rPr>
          <w:b/>
          <w:bCs/>
        </w:rPr>
        <w:t xml:space="preserve">One lever recurs across all three: moving delivery from facilities to community health workers.</w:t>
      </w:r>
      <w:r>
        <w:t xml:space="preserve"> </w:t>
      </w:r>
      <w:r>
        <w:t xml:space="preserve">It raised malnutrition treatment coverage substantially in two of three Malian districts and in a Tanzanian pilot area; it is specifically what makes postnatal home visits reduce newborn deaths (risk ratio, RR 0.69 where community health workers delivered them; no benefit where health professionals did); and community volunteers were central to Nepal’s national supplement coverage rise. §1.5 states each of these precisely, including where they do not hold. If there is one transferable finding here, it is that</w:t>
      </w:r>
      <w:r>
        <w:t xml:space="preserve"> </w:t>
      </w:r>
      <w:r>
        <w:rPr>
          <w:b/>
          <w:bCs/>
        </w:rPr>
        <w:t xml:space="preserve">the community health worker cadre is the binding platform for all three interventions.</w:t>
      </w:r>
    </w:p>
    <w:p>
      <w:pPr>
        <w:pStyle w:val="BodyText"/>
      </w:pPr>
      <w:r>
        <w:t xml:space="preserve">That finding carries three qualifications. Coverage gains do not guarantee quality gains — in Pakistan, CHW-delivered malnutrition treatment achieved</w:t>
      </w:r>
      <w:r>
        <w:t xml:space="preserve"> </w:t>
      </w:r>
      <w:r>
        <w:rPr>
          <w:i/>
          <w:iCs/>
        </w:rPr>
        <w:t xml:space="preserve">lower</w:t>
      </w:r>
      <w:r>
        <w:t xml:space="preserve"> </w:t>
      </w:r>
      <w:r>
        <w:t xml:space="preserve">recovery than facility care (76.0% against 82.95%). Screening coverage is not treatment coverage — a Mali programme raised screening coverage 40 percentage points while treatment coverage stayed at 7.6%. And CHW cadres are already overloaded and often unpaid; adding a fourth mandate is a design risk, not a free win.</w:t>
      </w:r>
    </w:p>
    <w:bookmarkEnd w:id="10"/>
    <w:bookmarkStart w:id="11" w:name="the-three-interventions-at-a-glance"/>
    <w:p>
      <w:pPr>
        <w:pStyle w:val="Heading2"/>
      </w:pPr>
      <w:r>
        <w:t xml:space="preserve">1.3 The three interventions at a glance</w:t>
      </w:r>
    </w:p>
    <w:p>
      <w:pPr>
        <w:pStyle w:val="FirstParagraph"/>
      </w:pPr>
      <w:r>
        <w:t xml:space="preserve">This report does not grade the interventions against one another. They are measured on different outcomes, against different comparators, in literatures at different stages — a common scale would imply a comparability the evidence does not support (§2.5). What follows is what each evidence base actually shows.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What the evidence establishes</w:t>
            </w:r>
          </w:p>
        </w:tc>
        <w:tc>
          <w:tcPr/>
          <w:p>
            <w:pPr>
              <w:pStyle w:val="Compact"/>
            </w:pPr>
            <w:r>
              <w:t xml:space="preserve">What it does not show</w:t>
            </w:r>
          </w:p>
        </w:tc>
        <w:tc>
          <w:tcPr/>
          <w:p>
            <w:pPr>
              <w:pStyle w:val="Compact"/>
            </w:pPr>
            <w:r>
              <w:t xml:space="preserve">Binding constraint</w:t>
            </w:r>
          </w:p>
        </w:tc>
      </w:tr>
      <w:tr>
        <w:tc>
          <w:tcPr/>
          <w:p>
            <w:pPr>
              <w:pStyle w:val="Compact"/>
            </w:pPr>
            <w:r>
              <w:rPr>
                <w:b/>
                <w:bCs/>
              </w:rPr>
              <w:t xml:space="preserve">CMAM</w:t>
            </w:r>
          </w:p>
        </w:tc>
        <w:tc>
          <w:tcPr/>
          <w:p>
            <w:pPr>
              <w:pStyle w:val="Compact"/>
            </w:pPr>
            <w:r>
              <w:t xml:space="preserve">Home-based treatment of acute malnutrition works, and how to deliver it</w:t>
            </w:r>
          </w:p>
        </w:tc>
        <w:tc>
          <w:tcPr/>
          <w:p>
            <w:pPr>
              <w:pStyle w:val="Compact"/>
            </w:pPr>
            <w:r>
              <w:t xml:space="preserve">The size of the benefit against no treatment — never measured, and now unmeasurable</w:t>
            </w:r>
          </w:p>
        </w:tc>
        <w:tc>
          <w:tcPr/>
          <w:p>
            <w:pPr>
              <w:pStyle w:val="Compact"/>
            </w:pPr>
            <w:r>
              <w:t xml:space="preserve">Coverage: under 40% of cases reached</w:t>
            </w:r>
          </w:p>
        </w:tc>
      </w:tr>
      <w:tr>
        <w:tc>
          <w:tcPr/>
          <w:p>
            <w:pPr>
              <w:pStyle w:val="Compact"/>
            </w:pPr>
            <w:r>
              <w:rPr>
                <w:b/>
                <w:bCs/>
              </w:rPr>
              <w:t xml:space="preserve">Breastfeeding</w:t>
            </w:r>
          </w:p>
        </w:tc>
        <w:tc>
          <w:tcPr/>
          <w:p>
            <w:pPr>
              <w:pStyle w:val="Compact"/>
            </w:pPr>
            <w:r>
              <w:t xml:space="preserve">Support works via professionals or peers, better in LMICs than high-income settings. Kangaroo Mother Care cuts newborn deaths</w:t>
            </w:r>
            <w:r>
              <w:t xml:space="preserve"> </w:t>
            </w:r>
            <w:r>
              <w:rPr>
                <w:b/>
                <w:bCs/>
              </w:rPr>
              <w:t xml:space="preserve">RR 0.68</w:t>
            </w:r>
            <w:r>
              <w:t xml:space="preserve">, rated high certainty</w:t>
            </w:r>
          </w:p>
        </w:tc>
        <w:tc>
          <w:tcPr/>
          <w:p>
            <w:pPr>
              <w:pStyle w:val="Compact"/>
            </w:pPr>
            <w:r>
              <w:t xml:space="preserve">How the facility and community components hand over to each other</w:t>
            </w:r>
          </w:p>
        </w:tc>
        <w:tc>
          <w:tcPr/>
          <w:p>
            <w:pPr>
              <w:pStyle w:val="Compact"/>
            </w:pPr>
            <w:r>
              <w:t xml:space="preserve">Contact intensity and coverage</w:t>
            </w:r>
          </w:p>
        </w:tc>
      </w:tr>
      <w:tr>
        <w:tc>
          <w:tcPr/>
          <w:p>
            <w:pPr>
              <w:pStyle w:val="Compact"/>
            </w:pPr>
            <w:r>
              <w:rPr>
                <w:b/>
                <w:bCs/>
              </w:rPr>
              <w:t xml:space="preserve">MMS</w:t>
            </w:r>
          </w:p>
        </w:tc>
        <w:tc>
          <w:tcPr/>
          <w:p>
            <w:pPr>
              <w:pStyle w:val="Compact"/>
            </w:pPr>
            <w:r>
              <w:t xml:space="preserve">Outperforms iron-folic acid on low birthweight, small-for-gestational-age and stillbirth, across very large samples</w:t>
            </w:r>
          </w:p>
        </w:tc>
        <w:tc>
          <w:tcPr/>
          <w:p>
            <w:pPr>
              <w:pStyle w:val="Compact"/>
            </w:pPr>
            <w:r>
              <w:t xml:space="preserve">Any improvement in perinatal or maternal mortality</w:t>
            </w:r>
          </w:p>
        </w:tc>
        <w:tc>
          <w:tcPr/>
          <w:p>
            <w:pPr>
              <w:pStyle w:val="Compact"/>
            </w:pPr>
            <w:r>
              <w:t xml:space="preserve">Adherence, and effectiveness rather than efficacy evidence</w:t>
            </w:r>
          </w:p>
        </w:tc>
      </w:tr>
    </w:tbl>
    <w:p>
      <w:pPr>
        <w:pStyle w:val="BodyText"/>
      </w:pPr>
      <w:r>
        <w:t xml:space="preserve">Cost and cost-effectiveness are excluded by design and are the subject of a separate later phase.</w:t>
      </w:r>
    </w:p>
    <w:p>
      <w:pPr>
        <w:pStyle w:val="BodyText"/>
      </w:pPr>
      <w:r>
        <w:t xml:space="preserve">Three findings partners should hear directly, because each cuts against an intuition:</w:t>
      </w:r>
    </w:p>
    <w:p>
      <w:pPr>
        <w:pStyle w:val="Compact"/>
        <w:numPr>
          <w:ilvl w:val="0"/>
          <w:numId w:val="1003"/>
        </w:numPr>
      </w:pPr>
      <w:r>
        <w:rPr>
          <w:b/>
          <w:bCs/>
        </w:rPr>
        <w:t xml:space="preserve">Kangaroo Mother Care is the strongest single result in this review</w:t>
      </w:r>
      <w:r>
        <w:t xml:space="preserve"> </w:t>
      </w:r>
      <w:r>
        <w:t xml:space="preserve">— a 32% reduction in newborn mortality, the only finding here carrying a formal high-certainty rating, and it requires no commodity and no equipment.</w:t>
      </w:r>
    </w:p>
    <w:p>
      <w:pPr>
        <w:pStyle w:val="Compact"/>
        <w:numPr>
          <w:ilvl w:val="0"/>
          <w:numId w:val="1003"/>
        </w:numPr>
      </w:pPr>
      <w:r>
        <w:rPr>
          <w:b/>
          <w:bCs/>
        </w:rPr>
        <w:t xml:space="preserve">MMS’s effect on survival is more mixed than a simple summary suggests.</w:t>
      </w:r>
      <w:r>
        <w:t xml:space="preserve"> </w:t>
      </w:r>
      <w:r>
        <w:t xml:space="preserve">It reduces stillbirth — a death — by about 9%, replicated across several large syntheses. It does not reduce perinatal or maternal mortality. §7.4 sets out which of those nulls are informative and which merely reflect too little data.</w:t>
      </w:r>
    </w:p>
    <w:p>
      <w:pPr>
        <w:pStyle w:val="Compact"/>
        <w:numPr>
          <w:ilvl w:val="0"/>
          <w:numId w:val="1003"/>
        </w:numPr>
      </w:pPr>
      <w:r>
        <w:rPr>
          <w:b/>
          <w:bCs/>
        </w:rPr>
        <w:t xml:space="preserve">On breastfeeding, facility and community packages are not alternatives.</w:t>
      </w:r>
      <w:r>
        <w:t xml:space="preserve"> </w:t>
      </w:r>
      <w:r>
        <w:t xml:space="preserve">The best-evidenced configuration is facility-anchored initiation — Kangaroo Mother Care and skin-to-skin — followed by community health worker counselling at 4–8 postnatal contacts. That matches CARE’s steer to disaggregate the two, and then shows they belong together.</w:t>
      </w:r>
    </w:p>
    <w:bookmarkEnd w:id="11"/>
    <w:bookmarkStart w:id="12" w:name="where-the-country-question"/>
    <w:p>
      <w:pPr>
        <w:pStyle w:val="Heading2"/>
      </w:pPr>
      <w:r>
        <w:t xml:space="preserve">1.4 Where — the country question</w:t>
      </w:r>
    </w:p>
    <w:p>
      <w:pPr>
        <w:pStyle w:val="FirstParagraph"/>
      </w:pPr>
      <w:r>
        <w:t xml:space="preserve">582 of the 648 on-topic records carry country tags, and eleven countries have enough evidence across all three interventions to say something about each.</w:t>
      </w:r>
      <w:r>
        <w:t xml:space="preserve"> </w:t>
      </w:r>
      <w:r>
        <w:rPr>
          <w:b/>
          <w:bCs/>
        </w:rPr>
        <w:t xml:space="preserve">This review does not score, rank or recommend a country.</w:t>
      </w:r>
      <w:r>
        <w:t xml:space="preserve"> </w:t>
      </w:r>
      <w:r>
        <w:t xml:space="preserve">An earlier draft did; building that ranking showed how sensitive it was to measurement choices with no evidential basis, so it was removed (§4.1). What the corpus supports is description, not ordering.</w:t>
      </w:r>
    </w:p>
    <w:p>
      <w:pPr>
        <w:pStyle w:val="BodyText"/>
      </w:pPr>
      <w:r>
        <w:t xml:space="preserve">What is worth knowing:</w:t>
      </w:r>
    </w:p>
    <w:p>
      <w:pPr>
        <w:pStyle w:val="Compact"/>
        <w:numPr>
          <w:ilvl w:val="0"/>
          <w:numId w:val="1004"/>
        </w:numPr>
      </w:pPr>
      <w:r>
        <w:rPr>
          <w:b/>
          <w:bCs/>
        </w:rPr>
        <w:t xml:space="preserve">Ethiopia</w:t>
      </w:r>
      <w:r>
        <w:t xml:space="preserve"> </w:t>
      </w:r>
      <w:r>
        <w:t xml:space="preserve">is the only country where all three interventions already run through a single government community platform — roughly 40,000 Health Extension Workers — and it is the case multi-country reviews cite when describing community-delivered malnutrition treatment at national scale. It is also where the quality problem is best documented: recovery</w:t>
      </w:r>
      <w:r>
        <w:t xml:space="preserve"> </w:t>
      </w:r>
      <w:r>
        <w:rPr>
          <w:i/>
          <w:iCs/>
        </w:rPr>
        <w:t xml:space="preserve">fell</w:t>
      </w:r>
      <w:r>
        <w:t xml:space="preserve"> </w:t>
      </w:r>
      <w:r>
        <w:t xml:space="preserve">as the programme matured.</w:t>
      </w:r>
    </w:p>
    <w:p>
      <w:pPr>
        <w:pStyle w:val="Compact"/>
        <w:numPr>
          <w:ilvl w:val="0"/>
          <w:numId w:val="1004"/>
        </w:numPr>
      </w:pPr>
      <w:r>
        <w:rPr>
          <w:b/>
          <w:bCs/>
        </w:rPr>
        <w:t xml:space="preserve">India</w:t>
      </w:r>
      <w:r>
        <w:t xml:space="preserve"> </w:t>
      </w:r>
      <w:r>
        <w:t xml:space="preserve">has the densest formal platform architecture (ASHA, Anganwadi, Village Health and Nutrition Days) and live national missions, with well-documented failures in inter-sectoral coordination and frontline-worker incentives rather than in platform existence.</w:t>
      </w:r>
    </w:p>
    <w:p>
      <w:pPr>
        <w:pStyle w:val="Compact"/>
        <w:numPr>
          <w:ilvl w:val="0"/>
          <w:numId w:val="1004"/>
        </w:numPr>
      </w:pPr>
      <w:r>
        <w:rPr>
          <w:b/>
          <w:bCs/>
        </w:rPr>
        <w:t xml:space="preserve">Nepal</w:t>
      </w:r>
      <w:r>
        <w:t xml:space="preserve"> </w:t>
      </w:r>
      <w:r>
        <w:t xml:space="preserve">has the clearest national coverage turnaround in the corpus, and its own literature proposes that same platform for the iron-folic-acid-to-MMS switch — disproportionately relevant if the co-design is scoped to supplementation.</w:t>
      </w:r>
    </w:p>
    <w:p>
      <w:pPr>
        <w:pStyle w:val="Compact"/>
        <w:numPr>
          <w:ilvl w:val="0"/>
          <w:numId w:val="1004"/>
        </w:numPr>
      </w:pPr>
      <w:r>
        <w:rPr>
          <w:b/>
          <w:bCs/>
        </w:rPr>
        <w:t xml:space="preserve">Pakistan</w:t>
      </w:r>
      <w:r>
        <w:t xml:space="preserve"> </w:t>
      </w:r>
      <w:r>
        <w:t xml:space="preserve">has a national MMS commitment already made, and supplies the corpus’s sharpest counter-signal: community-delivered malnutrition treatment there under-performed facility care.</w:t>
      </w:r>
    </w:p>
    <w:p>
      <w:pPr>
        <w:pStyle w:val="Compact"/>
        <w:numPr>
          <w:ilvl w:val="0"/>
          <w:numId w:val="1004"/>
        </w:numPr>
      </w:pPr>
      <w:r>
        <w:rPr>
          <w:b/>
          <w:bCs/>
        </w:rPr>
        <w:t xml:space="preserve">Bangladesh, Kenya, Ghana, Malawi, Niger, Indonesia and Nigeria</w:t>
      </w:r>
      <w:r>
        <w:t xml:space="preserve"> </w:t>
      </w:r>
      <w:r>
        <w:t xml:space="preserve">all carry enough evidence to be described; Bangladesh in particular shows a treatment platform that would need building rather than leveraging.</w:t>
      </w:r>
    </w:p>
    <w:p>
      <w:pPr>
        <w:pStyle w:val="FirstParagraph"/>
      </w:pPr>
      <w:r>
        <w:t xml:space="preserve">A literature corpus cannot speak to fragility and security, CARE and IA operational footprint, current government appetite, the financing landscape, or cost. Those factors are decisive and none is in scope here. §4.5 sets out which facts would settle the choice and suggests a practical route: pick three or four countries where partners already have a footprint, and assess those with partner input.</w:t>
      </w:r>
    </w:p>
    <w:p>
      <w:pPr>
        <w:pStyle w:val="BodyText"/>
      </w:pPr>
      <w:r>
        <w:t xml:space="preserve">One caution to carry into that conversation:</w:t>
      </w:r>
      <w:r>
        <w:t xml:space="preserve"> </w:t>
      </w:r>
      <w:r>
        <w:rPr>
          <w:b/>
          <w:bCs/>
        </w:rPr>
        <w:t xml:space="preserve">the best-documented country is not the best-performing one.</w:t>
      </w:r>
      <w:r>
        <w:t xml:space="preserve"> </w:t>
      </w:r>
      <w:r>
        <w:t xml:space="preserve">Ethiopia leads on evidence volume partly because its programmes have been studied most closely, failures included — and its recovery rate falling from 72% to 69% as it scaled is the most policy-relevant finding in the country evidence, applying to whichever country is chosen.</w:t>
      </w:r>
    </w:p>
    <w:bookmarkEnd w:id="12"/>
    <w:bookmarkStart w:id="13" w:name="X1b01b6ed62c9bf243196fbe3aa35085ce6cf34c"/>
    <w:p>
      <w:pPr>
        <w:pStyle w:val="Heading2"/>
      </w:pPr>
      <w:r>
        <w:t xml:space="preserve">1.5 The one outcome we would put in front of a CEO</w:t>
      </w:r>
    </w:p>
    <w:p>
      <w:pPr>
        <w:pStyle w:val="FirstParagraph"/>
      </w:pPr>
      <w:r>
        <w:t xml:space="preserve">Partners asked whether there is a single outcome worth taking to CARE’s leadership. Our recommendation is</w:t>
      </w:r>
      <w:r>
        <w:t xml:space="preserve"> </w:t>
      </w:r>
      <w:r>
        <w:rPr>
          <w:b/>
          <w:bCs/>
        </w:rPr>
        <w:t xml:space="preserve">coverage</w:t>
      </w:r>
      <w:r>
        <w:t xml:space="preserve"> </w:t>
      </w:r>
      <w:r>
        <w:t xml:space="preserve">— the share of people who need an intervention and actually receive it.</w:t>
      </w:r>
    </w:p>
    <w:p>
      <w:pPr>
        <w:pStyle w:val="BodyText"/>
      </w:pPr>
      <w:r>
        <w:t xml:space="preserve">Not a clinical effect size, and deliberately so. The effect sizes are largely known and are not what is failing. Coverage is what is failing, it fails across all three interventions, and it is what CARE is positioned to move.</w:t>
      </w:r>
    </w:p>
    <w:p>
      <w:pPr>
        <w:pStyle w:val="BodyText"/>
      </w:pPr>
      <w:r>
        <w:rPr>
          <w:b/>
          <w:bCs/>
        </w:rPr>
        <w:t xml:space="preserve">The scale of the gap</w:t>
      </w:r>
      <w:r>
        <w:t xml:space="preserve">, stated precisely:</w:t>
      </w:r>
    </w:p>
    <w:p>
      <w:pPr>
        <w:pStyle w:val="BlockText"/>
      </w:pPr>
      <w:r>
        <w:t xml:space="preserve">Across 44 assessments in 21 countries,</w:t>
      </w:r>
      <w:r>
        <w:t xml:space="preserve"> </w:t>
      </w:r>
      <w:r>
        <w:rPr>
          <w:b/>
          <w:bCs/>
        </w:rPr>
        <w:t xml:space="preserve">mean coverage of malnutrition treatment programmes was 38.3%</w:t>
      </w:r>
      <w:r>
        <w:t xml:space="preserve"> </w:t>
      </w:r>
      <w:r>
        <w:t xml:space="preserve">— under 40% of children reached, with 38 of the 44 programmes below their applicable minimum standard (DOI 10.1371/journal.pone.0128666).</w:t>
      </w:r>
      <w:r>
        <w:t xml:space="preserve"> </w:t>
      </w:r>
      <w:r>
        <w:rPr>
          <w:i/>
          <w:iCs/>
        </w:rPr>
        <w:t xml:space="preserve">These are 2012–13 assessments; we found no comparably broad more recent estimate.</w:t>
      </w:r>
    </w:p>
    <w:p>
      <w:pPr>
        <w:pStyle w:val="BlockText"/>
      </w:pPr>
      <w:r>
        <w:t xml:space="preserve">In Ethiopia, where antenatal supplement adherence has been pooled across two systematic reviews,</w:t>
      </w:r>
      <w:r>
        <w:t xml:space="preserve"> </w:t>
      </w:r>
      <w:r>
        <w:rPr>
          <w:b/>
          <w:bCs/>
        </w:rPr>
        <w:t xml:space="preserve">41–46% of pregnant women took supplements as recommended</w:t>
      </w:r>
      <w:r>
        <w:t xml:space="preserve"> </w:t>
      </w:r>
      <w:r>
        <w:t xml:space="preserve">(DOI 10.1186/s12884-020-2835-0, 10.1186/s12978-019-0848-9).</w:t>
      </w:r>
      <w:r>
        <w:t xml:space="preserve"> </w:t>
      </w:r>
      <w:r>
        <w:rPr>
          <w:i/>
          <w:iCs/>
        </w:rPr>
        <w:t xml:space="preserve">Both reviews are Ethiopia-only. Adherence elsewhere varies widely — 77–82% in parts of north India — so this is not a global figure.</w:t>
      </w:r>
    </w:p>
    <w:p>
      <w:pPr>
        <w:pStyle w:val="BlockText"/>
      </w:pPr>
      <w:r>
        <w:t xml:space="preserve">About 60% of deliveries in sub-Saharan Africa occur in a health facility, and</w:t>
      </w:r>
      <w:r>
        <w:t xml:space="preserve"> </w:t>
      </w:r>
      <w:r>
        <w:rPr>
          <w:b/>
          <w:bCs/>
        </w:rPr>
        <w:t xml:space="preserve">fewer than 4% in a Baby-Friendly-designated hospital</w:t>
      </w:r>
      <w:r>
        <w:t xml:space="preserve"> </w:t>
      </w:r>
      <w:r>
        <w:t xml:space="preserve">(PMID 39764605, citing prior estimates).</w:t>
      </w:r>
    </w:p>
    <w:p>
      <w:pPr>
        <w:pStyle w:val="FirstParagraph"/>
      </w:pPr>
      <w:r>
        <w:rPr>
          <w:b/>
          <w:bCs/>
        </w:rPr>
        <w:t xml:space="preserve">What shifting delivery to community health workers achieves.</w:t>
      </w:r>
      <w:r>
        <w:t xml:space="preserve"> </w:t>
      </w:r>
      <w:r>
        <w:t xml:space="preserve">The direction is consistent, but each case has a specific shape that a summary flattens:</w:t>
      </w:r>
    </w:p>
    <w:p>
      <w:pPr>
        <w:pStyle w:val="BlockText"/>
      </w:pPr>
      <w:r>
        <w:t xml:space="preserve">In</w:t>
      </w:r>
      <w:r>
        <w:t xml:space="preserve"> </w:t>
      </w:r>
      <w:r>
        <w:rPr>
          <w:b/>
          <w:bCs/>
        </w:rPr>
        <w:t xml:space="preserve">Mali</w:t>
      </w:r>
      <w:r>
        <w:t xml:space="preserve">, adding community health workers as treatment providers raised coverage from 28.7% to 57.1% in one district and 20.4% to 61.1% in another —</w:t>
      </w:r>
      <w:r>
        <w:t xml:space="preserve"> </w:t>
      </w:r>
      <w:r>
        <w:rPr>
          <w:b/>
          <w:bCs/>
        </w:rPr>
        <w:t xml:space="preserve">but produced no change in a third (28.4% to 28.5%)</w:t>
      </w:r>
      <w:r>
        <w:t xml:space="preserve">. The authors attribute the difference to where the workers were placed relative to underserved populations, not to supervision intensity (DOI 10.1186/s12960-022-00771-8).</w:t>
      </w:r>
    </w:p>
    <w:p>
      <w:pPr>
        <w:pStyle w:val="BlockText"/>
      </w:pPr>
      <w:r>
        <w:t xml:space="preserve">In</w:t>
      </w:r>
      <w:r>
        <w:t xml:space="preserve"> </w:t>
      </w:r>
      <w:r>
        <w:rPr>
          <w:b/>
          <w:bCs/>
        </w:rPr>
        <w:t xml:space="preserve">Tanzania</w:t>
      </w:r>
      <w:r>
        <w:t xml:space="preserve">, coverage was 80.9% in the area where community health workers treated at home against 41.7% in the comparison area —</w:t>
      </w:r>
      <w:r>
        <w:t xml:space="preserve"> </w:t>
      </w:r>
      <w:r>
        <w:rPr>
          <w:b/>
          <w:bCs/>
        </w:rPr>
        <w:t xml:space="preserve">a concurrent comparison between two areas, not a before-and-after change</w:t>
      </w:r>
      <w:r>
        <w:t xml:space="preserve">, in a non-randomised pilot (DOI 10.1038/s41598-021-81811-6).</w:t>
      </w:r>
    </w:p>
    <w:p>
      <w:pPr>
        <w:pStyle w:val="BlockText"/>
      </w:pPr>
      <w:r>
        <w:t xml:space="preserve">In</w:t>
      </w:r>
      <w:r>
        <w:t xml:space="preserve"> </w:t>
      </w:r>
      <w:r>
        <w:rPr>
          <w:b/>
          <w:bCs/>
        </w:rPr>
        <w:t xml:space="preserve">Nepal</w:t>
      </w:r>
      <w:r>
        <w:t xml:space="preserve">, national supplement coverage rose from 23% to 91% between 2001 and 2016 after community volunteers were</w:t>
      </w:r>
      <w:r>
        <w:t xml:space="preserve"> </w:t>
      </w:r>
      <w:r>
        <w:rPr>
          <w:b/>
          <w:bCs/>
        </w:rPr>
        <w:t xml:space="preserve">added to</w:t>
      </w:r>
      <w:r>
        <w:t xml:space="preserve"> </w:t>
      </w:r>
      <w:r>
        <w:t xml:space="preserve">existing facility distribution.</w:t>
      </w:r>
      <w:r>
        <w:t xml:space="preserve"> </w:t>
      </w:r>
      <w:r>
        <w:rPr>
          <w:b/>
          <w:bCs/>
        </w:rPr>
        <w:t xml:space="preserve">The rise closely tracked antenatal care coverage, which went from 49% to 94% over the same period</w:t>
      </w:r>
      <w:r>
        <w:t xml:space="preserve">, so the community component cannot be credited alone — and the 91% figure is for</w:t>
      </w:r>
      <w:r>
        <w:t xml:space="preserve"> </w:t>
      </w:r>
      <w:r>
        <w:rPr>
          <w:i/>
          <w:iCs/>
        </w:rPr>
        <w:t xml:space="preserve">any</w:t>
      </w:r>
      <w:r>
        <w:t xml:space="preserve"> </w:t>
      </w:r>
      <w:r>
        <w:t xml:space="preserve">consumption; the share completing 180 days remained 42% (DOI 10.1111/mcn.13173).</w:t>
      </w:r>
    </w:p>
    <w:p>
      <w:pPr>
        <w:pStyle w:val="FirstParagraph"/>
      </w:pPr>
      <w:r>
        <w:t xml:space="preserve">The defensible strategic claim is therefore narrower than</w:t>
      </w:r>
      <w:r>
        <w:t xml:space="preserve"> </w:t>
      </w:r>
      <w:r>
        <w:t xml:space="preserve">“decentralisation doubles coverage”</w:t>
      </w:r>
      <w:r>
        <w:t xml:space="preserve">:</w:t>
      </w:r>
      <w:r>
        <w:t xml:space="preserve"> </w:t>
      </w:r>
      <w:r>
        <w:rPr>
          <w:i/>
          <w:iCs/>
        </w:rPr>
        <w:t xml:space="preserve">these interventions work, the returns now come from reaching more people, and shifting delivery toward community health workers is the best-evidenced way to do that — where those workers are placed to reach people the facilities are missing.</w:t>
      </w:r>
    </w:p>
    <w:p>
      <w:pPr>
        <w:pStyle w:val="BodyText"/>
      </w:pPr>
      <w:r>
        <w:t xml:space="preserve">If leadership wants a clinical headline instead, the strongest available is Kangaroo Mother Care reducing newborn deaths by 32%, the only high-certainty rating in this review, requiring no commodity and no equipment.</w:t>
      </w:r>
    </w:p>
    <w:p>
      <w:pPr>
        <w:pStyle w:val="BodyText"/>
      </w:pPr>
      <w:r>
        <w:rPr>
          <w:b/>
          <w:bCs/>
        </w:rPr>
        <w:t xml:space="preserve">One caveat to carry with it.</w:t>
      </w:r>
      <w:r>
        <w:t xml:space="preserve"> </w:t>
      </w:r>
      <w:r>
        <w:t xml:space="preserve">Coverage gains are not automatically quality gains. Ethiopia’s recovery rate fell as it scaled; Pakistan’s community-delivered treatment under-performed facility care; a Mali programme raised screening coverage 40 percentage points while treatment coverage stayed at 7.6%. Any coverage target should specify whether it means finding people or treating them, and should be paired with a quality measure.</w:t>
      </w:r>
    </w:p>
    <w:bookmarkEnd w:id="13"/>
    <w:bookmarkStart w:id="14" w:name="how-confident-we-are"/>
    <w:p>
      <w:pPr>
        <w:pStyle w:val="Heading2"/>
      </w:pPr>
      <w:r>
        <w:t xml:space="preserve">1.6 How confident we are</w:t>
      </w:r>
    </w:p>
    <w:p>
      <w:pPr>
        <w:pStyle w:val="FirstParagraph"/>
      </w:pPr>
      <w:r>
        <w:t xml:space="preserve">Every numeric claim in this report is traceable to a specific record in the underlying evidence database, and the database is built only from the retrieved corpus. An automated verifier checks each cited number against its source; the check for claims that cannot be traced to any corpus record returns</w:t>
      </w:r>
      <w:r>
        <w:t xml:space="preserve"> </w:t>
      </w:r>
      <w:r>
        <w:rPr>
          <w:b/>
          <w:bCs/>
        </w:rPr>
        <w:t xml:space="preserve">zero</w:t>
      </w:r>
      <w:r>
        <w:t xml:space="preserve">.</w:t>
      </w:r>
    </w:p>
    <w:p>
      <w:pPr>
        <w:pStyle w:val="BodyText"/>
      </w:pPr>
      <w:r>
        <w:t xml:space="preserve">This matters because the pipeline was rebuilt specifically to eliminate a failure found in an earlier synthesis, where a plausible and widely-quoted statistic had been imported from background knowledge rather than from the evidence base. Section 2.4 describes the verification approach; Section 8 states its limits honestly.</w:t>
      </w:r>
    </w:p>
    <w:bookmarkEnd w:id="14"/>
    <w:bookmarkStart w:id="15" w:name="what-this-review-does-not-cover"/>
    <w:p>
      <w:pPr>
        <w:pStyle w:val="Heading2"/>
      </w:pPr>
      <w:r>
        <w:t xml:space="preserve">1.7 What this review does not cover</w:t>
      </w:r>
    </w:p>
    <w:p>
      <w:pPr>
        <w:pStyle w:val="Compact"/>
        <w:numPr>
          <w:ilvl w:val="0"/>
          <w:numId w:val="1005"/>
        </w:numPr>
      </w:pPr>
      <w:r>
        <w:rPr>
          <w:b/>
          <w:bCs/>
        </w:rPr>
        <w:t xml:space="preserve">Cost and cost-effectiveness</w:t>
      </w:r>
      <w:r>
        <w:t xml:space="preserve"> </w:t>
      </w:r>
      <w:r>
        <w:t xml:space="preserve">— deferred by design to a separate phase, and excluded from queries, extraction and synthesis alike. Commodity-heavy interventions — ready-to-use therapeutic food for CMAM, tablets for MMS — will be the most sensitive to it.</w:t>
      </w:r>
    </w:p>
    <w:p>
      <w:pPr>
        <w:pStyle w:val="Compact"/>
        <w:numPr>
          <w:ilvl w:val="0"/>
          <w:numId w:val="1005"/>
        </w:numPr>
      </w:pPr>
      <w:r>
        <w:rPr>
          <w:b/>
          <w:bCs/>
        </w:rPr>
        <w:t xml:space="preserve">A country recommendation, or a country ranking</w:t>
      </w:r>
      <w:r>
        <w:t xml:space="preserve"> </w:t>
      </w:r>
      <w:r>
        <w:t xml:space="preserve">— the corpus supports description of individual countries, not an ordering of them. The decision requires non-corpus facts.</w:t>
      </w:r>
    </w:p>
    <w:p>
      <w:pPr>
        <w:pStyle w:val="Compact"/>
        <w:numPr>
          <w:ilvl w:val="0"/>
          <w:numId w:val="1005"/>
        </w:numPr>
      </w:pPr>
      <w:r>
        <w:rPr>
          <w:b/>
          <w:bCs/>
        </w:rPr>
        <w:t xml:space="preserve">Complementary feeding</w:t>
      </w:r>
      <w:r>
        <w:t xml:space="preserve"> </w:t>
      </w:r>
      <w:r>
        <w:t xml:space="preserve">— both CARE technical experts advocated pairing counselling with a food or nutrient component. It was scoped out to hold to three interventions and is flagged for a decision.</w:t>
      </w:r>
    </w:p>
    <w:p>
      <w:pPr>
        <w:pStyle w:val="Compact"/>
        <w:numPr>
          <w:ilvl w:val="0"/>
          <w:numId w:val="1005"/>
        </w:numPr>
      </w:pPr>
      <w:r>
        <w:rPr>
          <w:b/>
          <w:bCs/>
        </w:rPr>
        <w:t xml:space="preserve">652 abstract-only papers</w:t>
      </w:r>
      <w:r>
        <w:t xml:space="preserve"> </w:t>
      </w:r>
      <w:r>
        <w:t xml:space="preserve">remain unextracted. All 981 full-text papers are complete, so this adds breadth rather than depth.</w:t>
      </w:r>
    </w:p>
    <w:bookmarkEnd w:id="15"/>
    <w:bookmarkStart w:id="16" w:name="X183346a3a2d2ed9e10b62e753f7b736a493d739"/>
    <w:p>
      <w:pPr>
        <w:pStyle w:val="Heading2"/>
      </w:pPr>
      <w:r>
        <w:t xml:space="preserve">1.8 Scope check — where each question is answered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Question</w:t>
            </w:r>
          </w:p>
        </w:tc>
        <w:tc>
          <w:tcPr/>
          <w:p>
            <w:pPr>
              <w:pStyle w:val="Compact"/>
            </w:pPr>
            <w:r>
              <w:t xml:space="preserve">Answer</w:t>
            </w:r>
          </w:p>
        </w:tc>
        <w:tc>
          <w:tcPr/>
          <w:p>
            <w:pPr>
              <w:pStyle w:val="Compact"/>
            </w:pPr>
            <w:r>
              <w:t xml:space="preserve">Where</w:t>
            </w:r>
          </w:p>
        </w:tc>
      </w:tr>
      <w:tr>
        <w:tc>
          <w:tcPr/>
          <w:p>
            <w:pPr>
              <w:pStyle w:val="Compact"/>
            </w:pPr>
            <w:r>
              <w:t xml:space="preserve">1</w:t>
            </w:r>
          </w:p>
        </w:tc>
        <w:tc>
          <w:tcPr/>
          <w:p>
            <w:pPr>
              <w:pStyle w:val="Compact"/>
            </w:pPr>
            <w:r>
              <w:t xml:space="preserve">What is most effective?</w:t>
            </w:r>
          </w:p>
        </w:tc>
        <w:tc>
          <w:tcPr/>
          <w:p>
            <w:pPr>
              <w:pStyle w:val="Compact"/>
            </w:pPr>
            <w:r>
              <w:rPr>
                <w:b/>
                <w:bCs/>
              </w:rPr>
              <w:t xml:space="preserve">Answered.</w:t>
            </w:r>
            <w:r>
              <w:t xml:space="preserve"> </w:t>
            </w:r>
            <w:r>
              <w:t xml:space="preserve">Each chapter opens with its top 2–3 levers, ranked against a stated criterion.</w:t>
            </w:r>
          </w:p>
        </w:tc>
        <w:tc>
          <w:tcPr/>
          <w:p>
            <w:pPr>
              <w:pStyle w:val="Compact"/>
            </w:pPr>
            <w:r>
              <w:t xml:space="preserve">§5.2, §6.2, §7.2</w:t>
            </w:r>
          </w:p>
        </w:tc>
      </w:tr>
      <w:tr>
        <w:tc>
          <w:tcPr/>
          <w:p>
            <w:pPr>
              <w:pStyle w:val="Compact"/>
            </w:pPr>
            <w:r>
              <w:t xml:space="preserve">2</w:t>
            </w:r>
          </w:p>
        </w:tc>
        <w:tc>
          <w:tcPr/>
          <w:p>
            <w:pPr>
              <w:pStyle w:val="Compact"/>
            </w:pPr>
            <w:r>
              <w:t xml:space="preserve">Distil to a few alternatives?</w:t>
            </w:r>
          </w:p>
        </w:tc>
        <w:tc>
          <w:tcPr/>
          <w:p>
            <w:pPr>
              <w:pStyle w:val="Compact"/>
            </w:pPr>
            <w:r>
              <w:rPr>
                <w:b/>
                <w:bCs/>
              </w:rPr>
              <w:t xml:space="preserve">Answered.</w:t>
            </w:r>
            <w:r>
              <w:t xml:space="preserve"> </w:t>
            </w:r>
            <w:r>
              <w:t xml:space="preserve">Three packaged program options, mapped to the three scaling positions, with a comparison table.</w:t>
            </w:r>
          </w:p>
        </w:tc>
        <w:tc>
          <w:tcPr/>
          <w:p>
            <w:pPr>
              <w:pStyle w:val="Compact"/>
            </w:pPr>
            <w:r>
              <w:t xml:space="preserve">§3.6</w:t>
            </w:r>
          </w:p>
        </w:tc>
      </w:tr>
      <w:tr>
        <w:tc>
          <w:tcPr/>
          <w:p>
            <w:pPr>
              <w:pStyle w:val="Compact"/>
            </w:pPr>
            <w:r>
              <w:t xml:space="preserve">3</w:t>
            </w:r>
          </w:p>
        </w:tc>
        <w:tc>
          <w:tcPr/>
          <w:p>
            <w:pPr>
              <w:pStyle w:val="Compact"/>
            </w:pPr>
            <w:r>
              <w:t xml:space="preserve">How to optimally combine?</w:t>
            </w:r>
          </w:p>
        </w:tc>
        <w:tc>
          <w:tcPr/>
          <w:p>
            <w:pPr>
              <w:pStyle w:val="Compact"/>
            </w:pPr>
            <w:r>
              <w:rPr>
                <w:b/>
                <w:bCs/>
              </w:rPr>
              <w:t xml:space="preserve">Partly — and this is the weakest area.</w:t>
            </w:r>
            <w:r>
              <w:t xml:space="preserve"> </w:t>
            </w:r>
            <w:r>
              <w:t xml:space="preserve">Combining</w:t>
            </w:r>
            <w:r>
              <w:t xml:space="preserve"> </w:t>
            </w:r>
            <w:r>
              <w:rPr>
                <w:i/>
                <w:iCs/>
              </w:rPr>
              <w:t xml:space="preserve">within</w:t>
            </w:r>
            <w:r>
              <w:t xml:space="preserve"> </w:t>
            </w:r>
            <w:r>
              <w:t xml:space="preserve">an intervention, and pairing with cash or women’s groups, are both well evidenced. Combining the three with each other is untested, and one documented attempt reduced enrolment in the service it was added to.</w:t>
            </w:r>
          </w:p>
        </w:tc>
        <w:tc>
          <w:tcPr/>
          <w:p>
            <w:pPr>
              <w:pStyle w:val="Compact"/>
            </w:pPr>
            <w:r>
              <w:t xml:space="preserve">§3.5, §5.7, §6.7, §7.8</w:t>
            </w:r>
          </w:p>
        </w:tc>
      </w:tr>
      <w:tr>
        <w:tc>
          <w:tcPr/>
          <w:p>
            <w:pPr>
              <w:pStyle w:val="Compact"/>
            </w:pPr>
            <w:r>
              <w:t xml:space="preserve">4</w:t>
            </w:r>
          </w:p>
        </w:tc>
        <w:tc>
          <w:tcPr/>
          <w:p>
            <w:pPr>
              <w:pStyle w:val="Compact"/>
            </w:pPr>
            <w:r>
              <w:t xml:space="preserve">Which country, incl. government barriers?</w:t>
            </w:r>
          </w:p>
        </w:tc>
        <w:tc>
          <w:tcPr/>
          <w:p>
            <w:pPr>
              <w:pStyle w:val="Compact"/>
            </w:pPr>
            <w:r>
              <w:rPr>
                <w:b/>
                <w:bCs/>
              </w:rPr>
              <w:t xml:space="preserve">Described, not ranked.</w:t>
            </w:r>
            <w:r>
              <w:t xml:space="preserve"> </w:t>
            </w:r>
            <w:r>
              <w:t xml:space="preserve">What is known about each country with substantial evidence, including documented implementation barriers. No scoring — see §4.1. Current government appetite is not in the corpus.</w:t>
            </w:r>
          </w:p>
        </w:tc>
        <w:tc>
          <w:tcPr/>
          <w:p>
            <w:pPr>
              <w:pStyle w:val="Compact"/>
            </w:pPr>
            <w:r>
              <w:t xml:space="preserve">§4, §4.5</w:t>
            </w:r>
          </w:p>
        </w:tc>
      </w:tr>
      <w:tr>
        <w:tc>
          <w:tcPr/>
          <w:p>
            <w:pPr>
              <w:pStyle w:val="Compact"/>
            </w:pPr>
            <w:r>
              <w:t xml:space="preserve">5</w:t>
            </w:r>
          </w:p>
        </w:tc>
        <w:tc>
          <w:tcPr/>
          <w:p>
            <w:pPr>
              <w:pStyle w:val="Compact"/>
            </w:pPr>
            <w:r>
              <w:t xml:space="preserve">Can programmes leverage government infrastructure?</w:t>
            </w:r>
          </w:p>
        </w:tc>
        <w:tc>
          <w:tcPr/>
          <w:p>
            <w:pPr>
              <w:pStyle w:val="Compact"/>
            </w:pPr>
            <w:r>
              <w:rPr>
                <w:b/>
                <w:bCs/>
              </w:rPr>
              <w:t xml:space="preserve">Answered — the strongest area.</w:t>
            </w:r>
            <w:r>
              <w:t xml:space="preserve"> </w:t>
            </w:r>
            <w:r>
              <w:t xml:space="preserve">Including Ethiopia’s transition of malnutrition treatment from an NGO emergency programme into the government system.</w:t>
            </w:r>
          </w:p>
        </w:tc>
        <w:tc>
          <w:tcPr/>
          <w:p>
            <w:pPr>
              <w:pStyle w:val="Compact"/>
            </w:pPr>
            <w:r>
              <w:t xml:space="preserve">§4.4, §5.8, §6.8, §7.9</w:t>
            </w:r>
          </w:p>
        </w:tc>
      </w:tr>
      <w:tr>
        <w:tc>
          <w:tcPr/>
          <w:p>
            <w:pPr>
              <w:pStyle w:val="Compact"/>
            </w:pPr>
            <w:r>
              <w:t xml:space="preserve">6</w:t>
            </w:r>
          </w:p>
        </w:tc>
        <w:tc>
          <w:tcPr/>
          <w:p>
            <w:pPr>
              <w:pStyle w:val="Compact"/>
            </w:pPr>
            <w:r>
              <w:t xml:space="preserve">A single outcome for CARE’s CEO?</w:t>
            </w:r>
          </w:p>
        </w:tc>
        <w:tc>
          <w:tcPr/>
          <w:p>
            <w:pPr>
              <w:pStyle w:val="Compact"/>
            </w:pPr>
            <w:r>
              <w:rPr>
                <w:b/>
                <w:bCs/>
              </w:rPr>
              <w:t xml:space="preserve">Answered</w:t>
            </w:r>
            <w:r>
              <w:t xml:space="preserve"> </w:t>
            </w:r>
            <w:r>
              <w:t xml:space="preserve">— see §1.5.</w:t>
            </w:r>
          </w:p>
        </w:tc>
        <w:tc>
          <w:tcPr/>
          <w:p>
            <w:pPr>
              <w:pStyle w:val="Compact"/>
            </w:pPr>
            <w:r>
              <w:t xml:space="preserve">§1.5</w:t>
            </w:r>
          </w:p>
        </w:tc>
      </w:tr>
    </w:tbl>
    <w:p>
      <w:pPr>
        <w:pStyle w:val="BodyText"/>
      </w:pPr>
      <w:r>
        <w:t xml:space="preserve">Two honest gaps sit behind this table. Question 3 is answered less fully than partners may want, and we would rather say so than manufacture a combination story the literature does not support. Question 4 is answered only for the half that a literature corpus can address; the other half is a relationship and financing question that belongs with partners.</w:t>
      </w:r>
    </w:p>
    <w:bookmarkEnd w:id="16"/>
    <w:bookmarkEnd w:id="17"/>
    <w:bookmarkStart w:id="24" w:name="scope-method-and-how-to-read-this-report"/>
    <w:p>
      <w:pPr>
        <w:pStyle w:val="Heading1"/>
      </w:pPr>
      <w:r>
        <w:t xml:space="preserve">2. Scope, method, and how to read this report</w:t>
      </w:r>
    </w:p>
    <w:bookmarkStart w:id="18" w:name="scope"/>
    <w:p>
      <w:pPr>
        <w:pStyle w:val="Heading2"/>
      </w:pPr>
      <w:r>
        <w:t xml:space="preserve">2.1 Scope</w:t>
      </w:r>
    </w:p>
    <w:p>
      <w:pPr>
        <w:pStyle w:val="FirstParagraph"/>
      </w:pPr>
      <w:r>
        <w:rPr>
          <w:b/>
          <w:bCs/>
        </w:rPr>
        <w:t xml:space="preserve">In scope:</w:t>
      </w:r>
      <w:r>
        <w:t xml:space="preserve"> </w:t>
      </w:r>
      <w:r>
        <w:t xml:space="preserve">three partner-selected interventions — CMAM, breastfeeding promotion and support (facility and community), and antenatal MMS — assessed on both clinical and implementation outcomes, in low- and middle-income settings, with development contexts as primary and emergency settings tagged as a sub-analysis.</w:t>
      </w:r>
    </w:p>
    <w:p>
      <w:pPr>
        <w:pStyle w:val="BodyText"/>
      </w:pPr>
      <w:r>
        <w:rPr>
          <w:b/>
          <w:bCs/>
        </w:rPr>
        <w:t xml:space="preserve">Deliberately out of scope:</w:t>
      </w:r>
      <w:r>
        <w:t xml:space="preserve"> </w:t>
      </w:r>
      <w:r>
        <w:t xml:space="preserve">cost and cost-effectiveness. This is a decision on record rather than an oversight. Cost terms were excluded from search queries, from extraction, and from synthesis, so that no cost claim could enter the report informally. Cost is the subject of a separate later phase, and §8.1 flags the findings in this report that should seed it.</w:t>
      </w:r>
    </w:p>
    <w:p>
      <w:pPr>
        <w:pStyle w:val="BodyText"/>
      </w:pPr>
      <w:r>
        <w:rPr>
          <w:b/>
          <w:bCs/>
        </w:rPr>
        <w:t xml:space="preserve">Also out of scope:</w:t>
      </w:r>
      <w:r>
        <w:t xml:space="preserve"> </w:t>
      </w:r>
      <w:r>
        <w:t xml:space="preserve">general complementary feeding (raised by both CARE technical experts and flagged for a decision in §8), and country-specific retrieval — searches were run country-agnostically so that the evidence base would not be biased toward a pre-selected shortlist, with country fit layered on at synthesis.</w:t>
      </w:r>
    </w:p>
    <w:bookmarkEnd w:id="18"/>
    <w:bookmarkStart w:id="19" w:name="the-picos-frame"/>
    <w:p>
      <w:pPr>
        <w:pStyle w:val="Heading2"/>
      </w:pPr>
      <w:r>
        <w:t xml:space="preserve">2.2 The PICOS frame</w:t>
      </w:r>
    </w:p>
    <w:p>
      <w:pPr>
        <w:pStyle w:val="FirstParagraph"/>
      </w:pPr>
      <w:r>
        <w:t xml:space="preserve">Each intervention was specified before searching, following the standard template. The distinguishing feature of this review is the</w:t>
      </w:r>
      <w:r>
        <w:t xml:space="preserve"> </w:t>
      </w:r>
      <w:r>
        <w:rPr>
          <w:b/>
          <w:bCs/>
        </w:rPr>
        <w:t xml:space="preserve">dual outcome axis</w:t>
      </w:r>
      <w:r>
        <w:t xml:space="preserve">: alongside clinical endpoints, every intervention was assessed on implementation outcomes — coverage, adherence, delivery platform, barriers, scalability and equity. This was a direct response to the partner steer that adherence and coverage, not efficacy, are the binding constraint.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Population</w:t>
            </w:r>
          </w:p>
        </w:tc>
        <w:tc>
          <w:tcPr/>
          <w:p>
            <w:pPr>
              <w:pStyle w:val="Compact"/>
            </w:pPr>
            <w:r>
              <w:t xml:space="preserve">Children 6–59 months with severe or moderate acute malnutrition (SAM, MAM) for CMAM; mothers and infants 0–6 months for breastfeeding; pregnant women for MMS</w:t>
            </w:r>
          </w:p>
        </w:tc>
      </w:tr>
      <w:tr>
        <w:tc>
          <w:tcPr/>
          <w:p>
            <w:pPr>
              <w:pStyle w:val="Compact"/>
            </w:pPr>
            <w:r>
              <w:rPr>
                <w:b/>
                <w:bCs/>
              </w:rPr>
              <w:t xml:space="preserve">Intervention</w:t>
            </w:r>
          </w:p>
        </w:tc>
        <w:tc>
          <w:tcPr/>
          <w:p>
            <w:pPr>
              <w:pStyle w:val="Compact"/>
            </w:pPr>
            <w:r>
              <w:t xml:space="preserve">As specified per chapter</w:t>
            </w:r>
          </w:p>
        </w:tc>
      </w:tr>
      <w:tr>
        <w:tc>
          <w:tcPr/>
          <w:p>
            <w:pPr>
              <w:pStyle w:val="Compact"/>
            </w:pPr>
            <w:r>
              <w:rPr>
                <w:b/>
                <w:bCs/>
              </w:rPr>
              <w:t xml:space="preserve">Comparison</w:t>
            </w:r>
          </w:p>
        </w:tc>
        <w:tc>
          <w:tcPr/>
          <w:p>
            <w:pPr>
              <w:pStyle w:val="Compact"/>
            </w:pPr>
            <w:r>
              <w:t xml:space="preserve">Includes simplified-versus-standard protocols (CMAM), facility-versus-community delivery (breastfeeding), and MMS versus iron-folic acid, IFA (the transition question)</w:t>
            </w:r>
          </w:p>
        </w:tc>
      </w:tr>
      <w:tr>
        <w:tc>
          <w:tcPr/>
          <w:p>
            <w:pPr>
              <w:pStyle w:val="Compact"/>
            </w:pPr>
            <w:r>
              <w:rPr>
                <w:b/>
                <w:bCs/>
              </w:rPr>
              <w:t xml:space="preserve">Outcomes</w:t>
            </w:r>
          </w:p>
        </w:tc>
        <w:tc>
          <w:tcPr/>
          <w:p>
            <w:pPr>
              <w:pStyle w:val="Compact"/>
            </w:pPr>
            <w:r>
              <w:t xml:space="preserve">Clinical endpoints</w:t>
            </w:r>
            <w:r>
              <w:t xml:space="preserve"> </w:t>
            </w:r>
            <w:r>
              <w:rPr>
                <w:b/>
                <w:bCs/>
              </w:rPr>
              <w:t xml:space="preserve">and</w:t>
            </w:r>
            <w:r>
              <w:t xml:space="preserve"> </w:t>
            </w:r>
            <w:r>
              <w:t xml:space="preserve">implementation outcomes across six dimensions</w:t>
            </w:r>
          </w:p>
        </w:tc>
      </w:tr>
      <w:tr>
        <w:tc>
          <w:tcPr/>
          <w:p>
            <w:pPr>
              <w:pStyle w:val="Compact"/>
            </w:pPr>
            <w:r>
              <w:rPr>
                <w:b/>
                <w:bCs/>
              </w:rPr>
              <w:t xml:space="preserve">Study design</w:t>
            </w:r>
          </w:p>
        </w:tc>
        <w:tc>
          <w:tcPr/>
          <w:p>
            <w:pPr>
              <w:pStyle w:val="Compact"/>
            </w:pPr>
            <w:r>
              <w:t xml:space="preserve">Meta-analyses and systematic reviews, trials, cohorts, and program evaluations — the last being essential, since implementation evidence rarely appears in trials</w:t>
            </w:r>
          </w:p>
        </w:tc>
      </w:tr>
    </w:tbl>
    <w:p>
      <w:pPr>
        <w:pStyle w:val="BodyText"/>
      </w:pPr>
      <w:r>
        <w:t xml:space="preserve">Full specification:</w:t>
      </w:r>
      <w:r>
        <w:t xml:space="preserve"> </w:t>
      </w:r>
      <w:r>
        <w:rPr>
          <w:rStyle w:val="VerbatimChar"/>
        </w:rPr>
        <w:t xml:space="preserve">docs/PICOS_specification.md</w:t>
      </w:r>
      <w:r>
        <w:t xml:space="preserve">.</w:t>
      </w:r>
    </w:p>
    <w:bookmarkEnd w:id="19"/>
    <w:bookmarkStart w:id="20" w:name="how-the-evidence-was-assembled"/>
    <w:p>
      <w:pPr>
        <w:pStyle w:val="Heading2"/>
      </w:pPr>
      <w:r>
        <w:t xml:space="preserve">2.3 How the evidence was assembled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Stage</w:t>
            </w:r>
          </w:p>
        </w:tc>
        <w:tc>
          <w:tcPr/>
          <w:p>
            <w:pPr>
              <w:pStyle w:val="Compact"/>
            </w:pPr>
            <w:r>
              <w:t xml:space="preserve">Result</w:t>
            </w:r>
          </w:p>
        </w:tc>
      </w:tr>
      <w:tr>
        <w:tc>
          <w:tcPr/>
          <w:p>
            <w:pPr>
              <w:pStyle w:val="Compact"/>
            </w:pPr>
            <w:r>
              <w:t xml:space="preserve">Retrieval — 3 intervention blocks × meta-analysis, systematic-review and implementation passes</w:t>
            </w:r>
          </w:p>
        </w:tc>
        <w:tc>
          <w:tcPr/>
          <w:p>
            <w:pPr>
              <w:pStyle w:val="Compact"/>
            </w:pPr>
            <w:r>
              <w:t xml:space="preserve">1,671 papers (CMAM 500, breastfeeding 640, MMS 531)</w:t>
            </w:r>
          </w:p>
        </w:tc>
      </w:tr>
      <w:tr>
        <w:tc>
          <w:tcPr/>
          <w:p>
            <w:pPr>
              <w:pStyle w:val="Compact"/>
            </w:pPr>
            <w:r>
              <w:t xml:space="preserve">Deduplication and merge</w:t>
            </w:r>
          </w:p>
        </w:tc>
        <w:tc>
          <w:tcPr/>
          <w:p>
            <w:pPr>
              <w:pStyle w:val="Compact"/>
            </w:pPr>
            <w:r>
              <w:rPr>
                <w:b/>
                <w:bCs/>
              </w:rPr>
              <w:t xml:space="preserve">1,636 papers</w:t>
            </w:r>
          </w:p>
        </w:tc>
      </w:tr>
      <w:tr>
        <w:tc>
          <w:tcPr/>
          <w:p>
            <w:pPr>
              <w:pStyle w:val="Compact"/>
            </w:pPr>
            <w:r>
              <w:t xml:space="preserve">Full-text acquisition</w:t>
            </w:r>
          </w:p>
        </w:tc>
        <w:tc>
          <w:tcPr/>
          <w:p>
            <w:pPr>
              <w:pStyle w:val="Compact"/>
            </w:pPr>
            <w:r>
              <w:t xml:space="preserve">981 papers with full text retrieved and parsed</w:t>
            </w:r>
          </w:p>
        </w:tc>
      </w:tr>
      <w:tr>
        <w:tc>
          <w:tcPr/>
          <w:p>
            <w:pPr>
              <w:pStyle w:val="Compact"/>
            </w:pPr>
            <w:r>
              <w:t xml:space="preserve">Structured per-study extraction</w:t>
            </w:r>
          </w:p>
        </w:tc>
        <w:tc>
          <w:tcPr/>
          <w:p>
            <w:pPr>
              <w:pStyle w:val="Compact"/>
            </w:pPr>
            <w:r>
              <w:rPr>
                <w:b/>
                <w:bCs/>
              </w:rPr>
              <w:t xml:space="preserve">984 records</w:t>
            </w:r>
            <w:r>
              <w:t xml:space="preserve">, of which 980 used full text</w:t>
            </w:r>
          </w:p>
        </w:tc>
      </w:tr>
      <w:tr>
        <w:tc>
          <w:tcPr/>
          <w:p>
            <w:pPr>
              <w:pStyle w:val="Compact"/>
            </w:pPr>
            <w:r>
              <w:t xml:space="preserve">On-topic after screening</w:t>
            </w:r>
          </w:p>
        </w:tc>
        <w:tc>
          <w:tcPr/>
          <w:p>
            <w:pPr>
              <w:pStyle w:val="Compact"/>
            </w:pPr>
            <w:r>
              <w:rPr>
                <w:b/>
                <w:bCs/>
              </w:rPr>
              <w:t xml:space="preserve">648 records</w:t>
            </w:r>
            <w:r>
              <w:t xml:space="preserve"> </w:t>
            </w:r>
            <w:r>
              <w:t xml:space="preserve">(CMAM 243, breastfeeding 193, MMS 212)</w:t>
            </w:r>
          </w:p>
        </w:tc>
      </w:tr>
      <w:tr>
        <w:tc>
          <w:tcPr/>
          <w:p>
            <w:pPr>
              <w:pStyle w:val="Compact"/>
            </w:pPr>
            <w:r>
              <w:t xml:space="preserve">Implementation findings extracted</w:t>
            </w:r>
          </w:p>
        </w:tc>
        <w:tc>
          <w:tcPr/>
          <w:p>
            <w:pPr>
              <w:pStyle w:val="Compact"/>
            </w:pPr>
            <w:r>
              <w:rPr>
                <w:b/>
                <w:bCs/>
              </w:rPr>
              <w:t xml:space="preserve">2,470 findings</w:t>
            </w:r>
            <w:r>
              <w:t xml:space="preserve"> </w:t>
            </w:r>
            <w:r>
              <w:t xml:space="preserve">across six dimensions; 630 records (97%) carry at least one</w:t>
            </w:r>
          </w:p>
        </w:tc>
      </w:tr>
    </w:tbl>
    <w:p>
      <w:pPr>
        <w:pStyle w:val="BodyText"/>
      </w:pPr>
      <w:r>
        <w:t xml:space="preserve">Three design choices are worth noting because they shaped what the review can say.</w:t>
      </w:r>
    </w:p>
    <w:p>
      <w:pPr>
        <w:pStyle w:val="BodyText"/>
      </w:pPr>
      <w:r>
        <w:rPr>
          <w:b/>
          <w:bCs/>
        </w:rPr>
        <w:t xml:space="preserve">A dedicated implementation retrieval pass.</w:t>
      </w:r>
      <w:r>
        <w:t xml:space="preserve"> </w:t>
      </w:r>
      <w:r>
        <w:t xml:space="preserve">Beyond the standard meta-analysis and systematic-review passes, a third pass searched explicitly for coverage, adherence, delivery-platform and barrier outcomes across program-evaluation, trial and cohort designs — with no cost terms. This is why program evaluations make up a substantial share of the corpus (48 for CMAM alone) and why the implementation axis is directly evidenced rather than inferred.</w:t>
      </w:r>
    </w:p>
    <w:p>
      <w:pPr>
        <w:pStyle w:val="BodyText"/>
      </w:pPr>
      <w:r>
        <w:rPr>
          <w:b/>
          <w:bCs/>
        </w:rPr>
        <w:t xml:space="preserve">Breastfeeding was retrieved as one block, not two.</w:t>
      </w:r>
      <w:r>
        <w:t xml:space="preserve"> </w:t>
      </w:r>
      <w:r>
        <w:t xml:space="preserve">Separate facility and community searches returned near-identical top-lists, because broad breastfeeding reviews genuinely cover both channels. The facility-versus-community distinction is therefore a per-study judgment made at</w:t>
      </w:r>
      <w:r>
        <w:t xml:space="preserve"> </w:t>
      </w:r>
      <w:r>
        <w:rPr>
          <w:b/>
          <w:bCs/>
        </w:rPr>
        <w:t xml:space="preserve">extraction</w:t>
      </w:r>
      <w:r>
        <w:t xml:space="preserve"> </w:t>
      </w:r>
      <w:r>
        <w:t xml:space="preserve">(</w:t>
      </w:r>
      <w:r>
        <w:rPr>
          <w:rStyle w:val="VerbatimChar"/>
        </w:rPr>
        <w:t xml:space="preserve">bf_delivery_setting</w:t>
      </w:r>
      <w:r>
        <w:t xml:space="preserve">), not a retrieval split. This was a finding, not a convenience.</w:t>
      </w:r>
    </w:p>
    <w:p>
      <w:pPr>
        <w:pStyle w:val="BodyText"/>
      </w:pPr>
      <w:r>
        <w:rPr>
          <w:b/>
          <w:bCs/>
        </w:rPr>
        <w:t xml:space="preserve">Version is not new evidence.</w:t>
      </w:r>
      <w:r>
        <w:t xml:space="preserve"> </w:t>
      </w:r>
      <w:r>
        <w:t xml:space="preserve">Where a review has been updated (two editions of the same Cochrane review, for instance), the versions are collapsed and only the newest retained. An earlier synthesis had counted two editions of one review as two independent generations of evidence.</w:t>
      </w:r>
    </w:p>
    <w:bookmarkEnd w:id="20"/>
    <w:bookmarkStart w:id="21" w:name="verification"/>
    <w:p>
      <w:pPr>
        <w:pStyle w:val="Heading2"/>
      </w:pPr>
      <w:r>
        <w:t xml:space="preserve">2.4 Verification</w:t>
      </w:r>
    </w:p>
    <w:p>
      <w:pPr>
        <w:pStyle w:val="FirstParagraph"/>
      </w:pPr>
      <w:r>
        <w:t xml:space="preserve">Every numeric claim in this report carries a citation to a specific record, and an automated verifier checks each one against the corpus. Its load-bearing output is the count of claims that cannot be traced to any corpus record — the signature of a number imported from background knowledge rather than from the evidence.</w:t>
      </w:r>
      <w:r>
        <w:t xml:space="preserve"> </w:t>
      </w:r>
      <w:r>
        <w:rPr>
          <w:b/>
          <w:bCs/>
        </w:rPr>
        <w:t xml:space="preserve">That count is zero.</w:t>
      </w:r>
    </w:p>
    <w:p>
      <w:pPr>
        <w:pStyle w:val="BodyText"/>
      </w:pPr>
      <w:r>
        <w:t xml:space="preserve">This check exists because an audit of an earlier synthesis found exactly that failure: a widely-quoted mortality statistic that was plausible, well-known, and not from the corpus. The same audit produced the other grounding rules used here — study design quoted verbatim from the source record rather than inferred, all-cause and cause-specific mortality kept separate, fixed- and random-effects estimates reported with the dominant trial named, and review versions collapsed.</w:t>
      </w:r>
    </w:p>
    <w:p>
      <w:pPr>
        <w:pStyle w:val="BodyText"/>
      </w:pPr>
      <w:r>
        <w:t xml:space="preserve">A separate manual fact-check audited 268 numeric values against their specific cited record — not merely against corpus presence — confirming record counts and source descriptions and tracing interpretive claims to record text.</w:t>
      </w:r>
    </w:p>
    <w:p>
      <w:pPr>
        <w:pStyle w:val="BodyText"/>
      </w:pPr>
      <w:r>
        <w:rPr>
          <w:b/>
          <w:bCs/>
        </w:rPr>
        <w:t xml:space="preserve">What verification does not do.</w:t>
      </w:r>
      <w:r>
        <w:t xml:space="preserve"> </w:t>
      </w:r>
      <w:r>
        <w:t xml:space="preserve">It confirms that a number appears in the cited source. It does not confirm that the source is correct, that the pooled estimate is well-constructed, or that the interpretation drawn is the only reasonable one. Section 8 sets out those limits.</w:t>
      </w:r>
    </w:p>
    <w:bookmarkEnd w:id="21"/>
    <w:bookmarkStart w:id="22" w:name="Xa5dabdc8da425176bd37a2b7a089bbbc3d25765"/>
    <w:p>
      <w:pPr>
        <w:pStyle w:val="Heading2"/>
      </w:pPr>
      <w:r>
        <w:t xml:space="preserve">2.5 Why this report does not grade the interventions</w:t>
      </w:r>
    </w:p>
    <w:p>
      <w:pPr>
        <w:pStyle w:val="FirstParagraph"/>
      </w:pPr>
      <w:r>
        <w:t xml:space="preserve">An earlier draft carried summary grades — evidence strength A/B/C, implementation readiness High/Moderate/Low, and a</w:t>
      </w:r>
      <w:r>
        <w:t xml:space="preserve"> </w:t>
      </w:r>
      <w:r>
        <w:t xml:space="preserve">“Tier 1”</w:t>
      </w:r>
      <w:r>
        <w:t xml:space="preserve"> </w:t>
      </w:r>
      <w:r>
        <w:t xml:space="preserve">band.</w:t>
      </w:r>
      <w:r>
        <w:t xml:space="preserve"> </w:t>
      </w:r>
      <w:r>
        <w:rPr>
          <w:b/>
          <w:bCs/>
        </w:rPr>
        <w:t xml:space="preserve">They have been removed.</w:t>
      </w:r>
    </w:p>
    <w:p>
      <w:pPr>
        <w:pStyle w:val="BodyText"/>
      </w:pPr>
      <w:r>
        <w:t xml:space="preserve">The reason is that a single letter compressed several genuinely different things into one symbol and then invited comparison across them.</w:t>
      </w:r>
      <w:r>
        <w:t xml:space="preserve"> </w:t>
      </w:r>
      <w:r>
        <w:t xml:space="preserve">“Evidence strength B”</w:t>
      </w:r>
      <w:r>
        <w:t xml:space="preserve"> </w:t>
      </w:r>
      <w:r>
        <w:t xml:space="preserve">for CMAM was doing at least three jobs at once: describing a structural feature of its literature (treatments are only ever compared against other treatments), describing the proportion of the corpus that is synthesis-tier, and implying a verdict on the intervention. Readers reasonably took it as the third. A grade that has to be explained in a paragraph is not helping.</w:t>
      </w:r>
    </w:p>
    <w:p>
      <w:pPr>
        <w:pStyle w:val="BodyText"/>
      </w:pPr>
      <w:r>
        <w:t xml:space="preserve">The three interventions also differ in ways a common scale cannot hold. They are measured on different outcomes, against different comparators, in literatures at different stages of maturity. Placing them on one axis creates an impression of commensurability the evidence does not support.</w:t>
      </w:r>
    </w:p>
    <w:p>
      <w:pPr>
        <w:pStyle w:val="BodyText"/>
      </w:pPr>
      <w:r>
        <w:rPr>
          <w:b/>
          <w:bCs/>
        </w:rPr>
        <w:t xml:space="preserve">What replaces it.</w:t>
      </w:r>
      <w:r>
        <w:t xml:space="preserve"> </w:t>
      </w:r>
      <w:r>
        <w:t xml:space="preserve">Each chapter states plainly what its evidence base contains, what it establishes, where it is thin, and what it cannot answer. Where a source reports formal certainty using</w:t>
      </w:r>
      <w:r>
        <w:t xml:space="preserve"> </w:t>
      </w:r>
      <w:r>
        <w:rPr>
          <w:b/>
          <w:bCs/>
        </w:rPr>
        <w:t xml:space="preserve">GRADE</w:t>
      </w:r>
      <w:r>
        <w:t xml:space="preserve"> </w:t>
      </w:r>
      <w:r>
        <w:t xml:space="preserve">— the standard instrument, applied by review authors to a specific outcome — we quote it as they stated it (</w:t>
      </w:r>
      <w:r>
        <w:t xml:space="preserve">“high certainty”</w:t>
      </w:r>
      <w:r>
        <w:t xml:space="preserve">,</w:t>
      </w:r>
      <w:r>
        <w:t xml:space="preserve"> </w:t>
      </w:r>
      <w:r>
        <w:t xml:space="preserve">“low-to-moderate”</w:t>
      </w:r>
      <w:r>
        <w:t xml:space="preserve">). That is a real assessment made by the people closest to the data, and it is reported rather than replaced by a judgment of our own.</w:t>
      </w:r>
    </w:p>
    <w:p>
      <w:pPr>
        <w:pStyle w:val="BodyText"/>
      </w:pPr>
      <w:r>
        <w:t xml:space="preserve">Readers who want a one-line summary per intervention will find it at the head of each chapter, in sentences rather than letters.</w:t>
      </w:r>
    </w:p>
    <w:bookmarkEnd w:id="22"/>
    <w:bookmarkStart w:id="23" w:name="a-note-on-the-statistics"/>
    <w:p>
      <w:pPr>
        <w:pStyle w:val="Heading2"/>
      </w:pPr>
      <w:r>
        <w:t xml:space="preserve">2.6 A note on the statistics</w:t>
      </w:r>
    </w:p>
    <w:p>
      <w:pPr>
        <w:pStyle w:val="FirstParagraph"/>
      </w:pPr>
      <w:r>
        <w:t xml:space="preserve">For readers who do not work with trial data daily:</w:t>
      </w:r>
      <w:r>
        <w:t xml:space="preserve"> </w:t>
      </w:r>
      <w:r>
        <w:rPr>
          <w:b/>
          <w:bCs/>
        </w:rPr>
        <w:t xml:space="preserve">RR — risk ratio, also called relative risk — compares treated to untreated, and 1.00 means no difference.</w:t>
      </w:r>
      <w:r>
        <w:t xml:space="preserve"> </w:t>
      </w:r>
      <w:r>
        <w:t xml:space="preserve">RR 0.85 means the outcome occurred 15% less often; RR 1.51 means 51% more often. The direction that counts as good depends on the outcome — for deaths and low birthweight you want a number below 1; for recovery and breastfeeding rates you want it above 1.</w:t>
      </w:r>
    </w:p>
    <w:p>
      <w:pPr>
        <w:pStyle w:val="BodyText"/>
      </w:pPr>
      <w:r>
        <w:t xml:space="preserve">The bracketed range, such as (0.77–0.93), is the confidence interval.</w:t>
      </w:r>
      <w:r>
        <w:t xml:space="preserve"> </w:t>
      </w:r>
      <w:r>
        <w:rPr>
          <w:b/>
          <w:bCs/>
        </w:rPr>
        <w:t xml:space="preserve">If it crosses 1.00, the result is not statistically significant.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How to read it</w:t>
            </w:r>
          </w:p>
        </w:tc>
      </w:tr>
      <w:tr>
        <w:tc>
          <w:tcPr/>
          <w:p>
            <w:pPr>
              <w:pStyle w:val="Compact"/>
            </w:pPr>
            <w:r>
              <w:rPr>
                <w:b/>
                <w:bCs/>
              </w:rPr>
              <w:t xml:space="preserve">RR</w:t>
            </w:r>
            <w:r>
              <w:t xml:space="preserve"> </w:t>
            </w:r>
            <w:r>
              <w:t xml:space="preserve">(risk ratio / relative risk)</w:t>
            </w:r>
          </w:p>
        </w:tc>
        <w:tc>
          <w:tcPr/>
          <w:p>
            <w:pPr>
              <w:pStyle w:val="Compact"/>
            </w:pPr>
            <w:r>
              <w:t xml:space="preserve">Ratio of rates. 1.00 = no difference</w:t>
            </w:r>
          </w:p>
        </w:tc>
      </w:tr>
      <w:tr>
        <w:tc>
          <w:tcPr/>
          <w:p>
            <w:pPr>
              <w:pStyle w:val="Compact"/>
            </w:pPr>
            <w:r>
              <w:rPr>
                <w:b/>
                <w:bCs/>
              </w:rPr>
              <w:t xml:space="preserve">OR</w:t>
            </w:r>
            <w:r>
              <w:t xml:space="preserve"> </w:t>
            </w:r>
            <w:r>
              <w:t xml:space="preserve">(odds ratio),</w:t>
            </w:r>
            <w:r>
              <w:t xml:space="preserve"> </w:t>
            </w:r>
            <w:r>
              <w:rPr>
                <w:b/>
                <w:bCs/>
              </w:rPr>
              <w:t xml:space="preserve">HR</w:t>
            </w:r>
            <w:r>
              <w:t xml:space="preserve"> </w:t>
            </w:r>
            <w:r>
              <w:t xml:space="preserve">(hazard ratio)</w:t>
            </w:r>
          </w:p>
        </w:tc>
        <w:tc>
          <w:tcPr/>
          <w:p>
            <w:pPr>
              <w:pStyle w:val="Compact"/>
            </w:pPr>
            <w:r>
              <w:t xml:space="preserve">Read like RR</w:t>
            </w:r>
          </w:p>
        </w:tc>
      </w:tr>
      <w:tr>
        <w:tc>
          <w:tcPr/>
          <w:p>
            <w:pPr>
              <w:pStyle w:val="Compact"/>
            </w:pPr>
            <w:r>
              <w:rPr>
                <w:b/>
                <w:bCs/>
              </w:rPr>
              <w:t xml:space="preserve">RD</w:t>
            </w:r>
            <w:r>
              <w:t xml:space="preserve"> </w:t>
            </w:r>
            <w:r>
              <w:t xml:space="preserve">(risk difference)</w:t>
            </w:r>
          </w:p>
        </w:tc>
        <w:tc>
          <w:tcPr/>
          <w:p>
            <w:pPr>
              <w:pStyle w:val="Compact"/>
            </w:pPr>
            <w:r>
              <w:t xml:space="preserve">The</w:t>
            </w:r>
            <w:r>
              <w:t xml:space="preserve"> </w:t>
            </w:r>
            <w:r>
              <w:rPr>
                <w:b/>
                <w:bCs/>
              </w:rPr>
              <w:t xml:space="preserve">absolute</w:t>
            </w:r>
            <w:r>
              <w:t xml:space="preserve"> </w:t>
            </w:r>
            <w:r>
              <w:t xml:space="preserve">difference between the two groups, in percentage points — not a ratio. RD 0.03 means three percentage points apart.</w:t>
            </w:r>
            <w:r>
              <w:t xml:space="preserve"> </w:t>
            </w:r>
            <w:r>
              <w:rPr>
                <w:b/>
                <w:bCs/>
              </w:rPr>
              <w:t xml:space="preserve">0 means no difference</w:t>
            </w:r>
          </w:p>
        </w:tc>
      </w:tr>
      <w:tr>
        <w:tc>
          <w:tcPr/>
          <w:p>
            <w:pPr>
              <w:pStyle w:val="Compact"/>
            </w:pPr>
            <w:r>
              <w:rPr>
                <w:b/>
                <w:bCs/>
              </w:rPr>
              <w:t xml:space="preserve">MD / SMD</w:t>
            </w:r>
            <w:r>
              <w:t xml:space="preserve"> </w:t>
            </w:r>
            <w:r>
              <w:t xml:space="preserve">(mean difference)</w:t>
            </w:r>
          </w:p>
        </w:tc>
        <w:tc>
          <w:tcPr/>
          <w:p>
            <w:pPr>
              <w:pStyle w:val="Compact"/>
            </w:pPr>
            <w:r>
              <w:t xml:space="preserve">Compares averages rather than rates.</w:t>
            </w:r>
            <w:r>
              <w:t xml:space="preserve"> </w:t>
            </w:r>
            <w:r>
              <w:rPr>
                <w:b/>
                <w:bCs/>
              </w:rPr>
              <w:t xml:space="preserve">0</w:t>
            </w:r>
            <w:r>
              <w:t xml:space="preserve">, not 1, means no difference</w:t>
            </w:r>
          </w:p>
        </w:tc>
      </w:tr>
    </w:tbl>
    <w:p>
      <w:pPr>
        <w:pStyle w:val="BodyText"/>
      </w:pPr>
      <w:r>
        <w:rPr>
          <w:b/>
          <w:bCs/>
        </w:rPr>
        <w:t xml:space="preserve">One term that is easy to misread:</w:t>
      </w:r>
      <w:r>
        <w:rPr>
          <w:b/>
          <w:bCs/>
        </w:rPr>
        <w:t xml:space="preserve"> </w:t>
      </w:r>
      <w:r>
        <w:rPr>
          <w:b/>
          <w:bCs/>
        </w:rPr>
        <w:t xml:space="preserve">“non-inferior”</w:t>
      </w:r>
      <w:r>
        <w:rPr>
          <w:b/>
          <w:bCs/>
        </w:rPr>
        <w:t xml:space="preserve">.</w:t>
      </w:r>
      <w:r>
        <w:t xml:space="preserve"> </w:t>
      </w:r>
      <w:r>
        <w:t xml:space="preserve">A non-inferiority trial does not claim the new option is</w:t>
      </w:r>
      <w:r>
        <w:t xml:space="preserve"> </w:t>
      </w:r>
      <w:r>
        <w:rPr>
          <w:i/>
          <w:iCs/>
        </w:rPr>
        <w:t xml:space="preserve">better</w:t>
      </w:r>
      <w:r>
        <w:t xml:space="preserve">. It asks whether the new option is</w:t>
      </w:r>
      <w:r>
        <w:t xml:space="preserve"> </w:t>
      </w:r>
      <w:r>
        <w:rPr>
          <w:b/>
          <w:bCs/>
        </w:rPr>
        <w:t xml:space="preserve">not worse by more than a margin agreed before the trial began</w:t>
      </w:r>
      <w:r>
        <w:t xml:space="preserve"> </w:t>
      </w:r>
      <w:r>
        <w:t xml:space="preserve">— the point being that if it performs about as well while costing less or being simpler to deliver, that is a win. So when a simplified protocol is reported as non-inferior with a risk difference of 0.03, the finding is</w:t>
      </w:r>
      <w:r>
        <w:t xml:space="preserve"> </w:t>
      </w:r>
      <w:r>
        <w:t xml:space="preserve">“</w:t>
      </w:r>
      <w:r>
        <w:rPr>
          <w:b/>
          <w:bCs/>
        </w:rPr>
        <w:t xml:space="preserve">as good as</w:t>
      </w:r>
      <w:r>
        <w:t xml:space="preserve"> </w:t>
      </w:r>
      <w:r>
        <w:t xml:space="preserve">standard care,”</w:t>
      </w:r>
      <w:r>
        <w:t xml:space="preserve"> </w:t>
      </w:r>
      <w:r>
        <w:t xml:space="preserve">not</w:t>
      </w:r>
      <w:r>
        <w:t xml:space="preserve"> </w:t>
      </w:r>
      <w:r>
        <w:t xml:space="preserve">“3% better.”</w:t>
      </w:r>
      <w:r>
        <w:t xml:space="preserve"> </w:t>
      </w:r>
      <w:r>
        <w:t xml:space="preserve">The small positive number is not the claim; the</w:t>
      </w:r>
      <w:r>
        <w:t xml:space="preserve"> </w:t>
      </w:r>
      <w:r>
        <w:rPr>
          <w:i/>
          <w:iCs/>
        </w:rPr>
        <w:t xml:space="preserve">absence of a meaningful shortfall</w:t>
      </w:r>
      <w:r>
        <w:t xml:space="preserve"> </w:t>
      </w:r>
      <w:r>
        <w:t xml:space="preserve">is.</w:t>
      </w:r>
    </w:p>
    <w:bookmarkEnd w:id="23"/>
    <w:bookmarkEnd w:id="24"/>
    <w:bookmarkStart w:id="39" w:name="cross-cutting-synthesis"/>
    <w:p>
      <w:pPr>
        <w:pStyle w:val="Heading1"/>
      </w:pPr>
      <w:r>
        <w:t xml:space="preserve">3. Cross-cutting synthesis</w:t>
      </w:r>
    </w:p>
    <w:bookmarkStart w:id="25" w:name="the-three-interventions-side-by-side"/>
    <w:p>
      <w:pPr>
        <w:pStyle w:val="Heading2"/>
      </w:pPr>
      <w:r>
        <w:t xml:space="preserve">3.1 The three interventions side by side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rPr>
                <w:b/>
                <w:bCs/>
              </w:rPr>
              <w:t xml:space="preserve">CMAM</w:t>
            </w:r>
          </w:p>
        </w:tc>
        <w:tc>
          <w:tcPr/>
          <w:p>
            <w:pPr>
              <w:pStyle w:val="Compact"/>
            </w:pPr>
            <w:r>
              <w:rPr>
                <w:b/>
                <w:bCs/>
              </w:rPr>
              <w:t xml:space="preserve">Breastfeeding support</w:t>
            </w:r>
          </w:p>
        </w:tc>
        <w:tc>
          <w:tcPr/>
          <w:p>
            <w:pPr>
              <w:pStyle w:val="Compact"/>
            </w:pPr>
            <w:r>
              <w:rPr>
                <w:b/>
                <w:bCs/>
              </w:rPr>
              <w:t xml:space="preserve">Antenatal MMS</w:t>
            </w:r>
          </w:p>
        </w:tc>
      </w:tr>
      <w:tr>
        <w:tc>
          <w:tcPr/>
          <w:p>
            <w:pPr>
              <w:pStyle w:val="Compact"/>
            </w:pPr>
            <w:r>
              <w:rPr>
                <w:b/>
                <w:bCs/>
              </w:rPr>
              <w:t xml:space="preserve">What it is</w:t>
            </w:r>
          </w:p>
        </w:tc>
        <w:tc>
          <w:tcPr/>
          <w:p>
            <w:pPr>
              <w:pStyle w:val="Compact"/>
            </w:pPr>
            <w:r>
              <w:t xml:space="preserve">Treatment of children already acutely malnourished, delivered at home rather than in hospital</w:t>
            </w:r>
          </w:p>
        </w:tc>
        <w:tc>
          <w:tcPr/>
          <w:p>
            <w:pPr>
              <w:pStyle w:val="Compact"/>
            </w:pPr>
            <w:r>
              <w:t xml:space="preserve">Helping mothers start and sustain breastfeeding, via facilities at birth and community contact after</w:t>
            </w:r>
          </w:p>
        </w:tc>
        <w:tc>
          <w:tcPr/>
          <w:p>
            <w:pPr>
              <w:pStyle w:val="Compact"/>
            </w:pPr>
            <w:r>
              <w:t xml:space="preserve">A daily multiple-micronutrient tablet for pregnant women, replacing iron-folic acid (IFA)</w:t>
            </w:r>
          </w:p>
        </w:tc>
      </w:tr>
      <w:tr>
        <w:tc>
          <w:tcPr/>
          <w:p>
            <w:pPr>
              <w:pStyle w:val="Compact"/>
            </w:pPr>
            <w:r>
              <w:rPr>
                <w:b/>
                <w:bCs/>
              </w:rPr>
              <w:t xml:space="preserve">Population</w:t>
            </w:r>
          </w:p>
        </w:tc>
        <w:tc>
          <w:tcPr/>
          <w:p>
            <w:pPr>
              <w:pStyle w:val="Compact"/>
            </w:pPr>
            <w:r>
              <w:t xml:space="preserve">Children 6–59 months with severe or moderate acute malnutrition (SAM, MAM)</w:t>
            </w:r>
          </w:p>
        </w:tc>
        <w:tc>
          <w:tcPr/>
          <w:p>
            <w:pPr>
              <w:pStyle w:val="Compact"/>
            </w:pPr>
            <w:r>
              <w:t xml:space="preserve">Mothers and infants 0–6 months</w:t>
            </w:r>
          </w:p>
        </w:tc>
        <w:tc>
          <w:tcPr/>
          <w:p>
            <w:pPr>
              <w:pStyle w:val="Compact"/>
            </w:pPr>
            <w:r>
              <w:t xml:space="preserve">Pregnant women; outcomes in the newborn</w:t>
            </w:r>
          </w:p>
        </w:tc>
      </w:tr>
      <w:tr>
        <w:tc>
          <w:tcPr/>
          <w:p>
            <w:pPr>
              <w:pStyle w:val="Compact"/>
            </w:pPr>
            <w:r>
              <w:rPr>
                <w:b/>
                <w:bCs/>
              </w:rPr>
              <w:t xml:space="preserve">On-topic records</w:t>
            </w:r>
          </w:p>
        </w:tc>
        <w:tc>
          <w:tcPr/>
          <w:p>
            <w:pPr>
              <w:pStyle w:val="Compact"/>
            </w:pPr>
            <w:r>
              <w:t xml:space="preserve">243</w:t>
            </w:r>
          </w:p>
        </w:tc>
        <w:tc>
          <w:tcPr/>
          <w:p>
            <w:pPr>
              <w:pStyle w:val="Compact"/>
            </w:pPr>
            <w:r>
              <w:t xml:space="preserve">193</w:t>
            </w:r>
          </w:p>
        </w:tc>
        <w:tc>
          <w:tcPr/>
          <w:p>
            <w:pPr>
              <w:pStyle w:val="Compact"/>
            </w:pPr>
            <w:r>
              <w:t xml:space="preserve">212</w:t>
            </w:r>
          </w:p>
        </w:tc>
      </w:tr>
      <w:tr>
        <w:tc>
          <w:tcPr/>
          <w:p>
            <w:pPr>
              <w:pStyle w:val="Compact"/>
            </w:pPr>
            <w:r>
              <w:rPr>
                <w:b/>
                <w:bCs/>
              </w:rPr>
              <w:t xml:space="preserve">Evidence backbone</w:t>
            </w:r>
          </w:p>
        </w:tc>
        <w:tc>
          <w:tcPr/>
          <w:p>
            <w:pPr>
              <w:pStyle w:val="Compact"/>
            </w:pPr>
            <w:r>
              <w:t xml:space="preserve">13 meta-analyses, 14 systematic reviews, 32 randomised controlled trials (RCTs), 48 program evaluations</w:t>
            </w:r>
          </w:p>
        </w:tc>
        <w:tc>
          <w:tcPr/>
          <w:p>
            <w:pPr>
              <w:pStyle w:val="Compact"/>
            </w:pPr>
            <w:r>
              <w:t xml:space="preserve">30 meta-analyses, 29 systematic reviews, 12 RCTs, 28 qualitative</w:t>
            </w:r>
          </w:p>
        </w:tc>
        <w:tc>
          <w:tcPr/>
          <w:p>
            <w:pPr>
              <w:pStyle w:val="Compact"/>
            </w:pPr>
            <w:r>
              <w:t xml:space="preserve">34 meta-analyses, 16 systematic reviews, 31 RCTs, 19 program evaluations</w:t>
            </w:r>
          </w:p>
        </w:tc>
      </w:tr>
      <w:tr>
        <w:tc>
          <w:tcPr/>
          <w:p>
            <w:pPr>
              <w:pStyle w:val="Compact"/>
            </w:pPr>
            <w:r>
              <w:rPr>
                <w:b/>
                <w:bCs/>
              </w:rPr>
              <w:t xml:space="preserve">Strongest clinical result</w:t>
            </w:r>
          </w:p>
        </w:tc>
        <w:tc>
          <w:tcPr/>
          <w:p>
            <w:pPr>
              <w:pStyle w:val="Compact"/>
            </w:pPr>
            <w:r>
              <w:t xml:space="preserve">Recovery RR 1.51 (1.04–2.2) for RUTF vs standard therapy; antibiotic adjunct cuts mortality RR 0.74 (0.55–0.98)</w:t>
            </w:r>
          </w:p>
        </w:tc>
        <w:tc>
          <w:tcPr/>
          <w:p>
            <w:pPr>
              <w:pStyle w:val="Compact"/>
            </w:pPr>
            <w:r>
              <w:t xml:space="preserve">Kangaroo Mother Care (KMC) cuts neonatal mortality</w:t>
            </w:r>
            <w:r>
              <w:t xml:space="preserve"> </w:t>
            </w:r>
            <w:r>
              <w:rPr>
                <w:b/>
                <w:bCs/>
              </w:rPr>
              <w:t xml:space="preserve">RR 0.68 (0.53–0.87)</w:t>
            </w:r>
            <w:r>
              <w:t xml:space="preserve">, high certainty</w:t>
            </w:r>
          </w:p>
        </w:tc>
        <w:tc>
          <w:tcPr/>
          <w:p>
            <w:pPr>
              <w:pStyle w:val="Compact"/>
            </w:pPr>
            <w:r>
              <w:t xml:space="preserve">Small-vulnerable-newborn types RR 0.73 (0.64–0.84); low birthweight RR 0.85 (0.77–0.93)</w:t>
            </w:r>
          </w:p>
        </w:tc>
      </w:tr>
      <w:tr>
        <w:tc>
          <w:tcPr/>
          <w:p>
            <w:pPr>
              <w:pStyle w:val="Compact"/>
            </w:pPr>
            <w:r>
              <w:rPr>
                <w:b/>
                <w:bCs/>
              </w:rPr>
              <w:t xml:space="preserve">What it does</w:t>
            </w:r>
            <w:r>
              <w:rPr>
                <w:b/>
                <w:bCs/>
              </w:rPr>
              <w:t xml:space="preserve"> </w:t>
            </w:r>
            <w:r>
              <w:rPr>
                <w:b/>
                <w:bCs/>
                <w:i/>
                <w:iCs/>
              </w:rPr>
              <w:t xml:space="preserve">not</w:t>
            </w:r>
            <w:r>
              <w:rPr>
                <w:b/>
                <w:bCs/>
              </w:rPr>
              <w:t xml:space="preserve"> </w:t>
            </w:r>
            <w:r>
              <w:rPr>
                <w:b/>
                <w:bCs/>
              </w:rPr>
              <w:t xml:space="preserve">do</w:t>
            </w:r>
          </w:p>
        </w:tc>
        <w:tc>
          <w:tcPr/>
          <w:p>
            <w:pPr>
              <w:pStyle w:val="Compact"/>
            </w:pPr>
            <w:r>
              <w:t xml:space="preserve">Comparisons are food-vs-food; benefit against no treatment is not measured</w:t>
            </w:r>
          </w:p>
        </w:tc>
        <w:tc>
          <w:tcPr/>
          <w:p>
            <w:pPr>
              <w:pStyle w:val="Compact"/>
            </w:pPr>
            <w:r>
              <w:t xml:space="preserve">Home-visit mortality benefit comes from bundles, not breastfeeding alone</w:t>
            </w:r>
          </w:p>
        </w:tc>
        <w:tc>
          <w:tcPr/>
          <w:p>
            <w:pPr>
              <w:pStyle w:val="Compact"/>
            </w:pPr>
            <w:r>
              <w:t xml:space="preserve">No reduction in perinatal mortality over IFA (RR 1.00). Stillbirth</w:t>
            </w:r>
            <w:r>
              <w:t xml:space="preserve"> </w:t>
            </w:r>
            <w:r>
              <w:rPr>
                <w:b/>
                <w:bCs/>
              </w:rPr>
              <w:t xml:space="preserve">is</w:t>
            </w:r>
            <w:r>
              <w:t xml:space="preserve"> </w:t>
            </w:r>
            <w:r>
              <w:t xml:space="preserve">reduced (RR 0.91) — see §7.4</w:t>
            </w:r>
          </w:p>
        </w:tc>
      </w:tr>
      <w:tr>
        <w:tc>
          <w:tcPr/>
          <w:p>
            <w:pPr>
              <w:pStyle w:val="Compact"/>
            </w:pPr>
            <w:r>
              <w:rPr>
                <w:b/>
                <w:bCs/>
              </w:rPr>
              <w:t xml:space="preserve">The binding constraint</w:t>
            </w:r>
          </w:p>
        </w:tc>
        <w:tc>
          <w:tcPr/>
          <w:p>
            <w:pPr>
              <w:pStyle w:val="Compact"/>
            </w:pPr>
            <w:r>
              <w:t xml:space="preserve">Coverage — routine programmes reach ~⅓ of cases</w:t>
            </w:r>
          </w:p>
        </w:tc>
        <w:tc>
          <w:tcPr/>
          <w:p>
            <w:pPr>
              <w:pStyle w:val="Compact"/>
            </w:pPr>
            <w:r>
              <w:t xml:space="preserve">Contact intensity and coverage</w:t>
            </w:r>
          </w:p>
        </w:tc>
        <w:tc>
          <w:tcPr/>
          <w:p>
            <w:pPr>
              <w:pStyle w:val="Compact"/>
            </w:pPr>
            <w:r>
              <w:t xml:space="preserve">Adherence — 41–46% real-world</w:t>
            </w:r>
          </w:p>
        </w:tc>
      </w:tr>
      <w:tr>
        <w:tc>
          <w:tcPr/>
          <w:p>
            <w:pPr>
              <w:pStyle w:val="Compact"/>
            </w:pPr>
            <w:r>
              <w:rPr>
                <w:b/>
                <w:bCs/>
              </w:rPr>
              <w:t xml:space="preserve">Real-world performance</w:t>
            </w:r>
          </w:p>
        </w:tc>
        <w:tc>
          <w:tcPr/>
          <w:p>
            <w:pPr>
              <w:pStyle w:val="Compact"/>
            </w:pPr>
            <w:r>
              <w:t xml:space="preserve">Recovery 71.2% vs 75% Sphere minimum, and falling with scale</w:t>
            </w:r>
          </w:p>
        </w:tc>
        <w:tc>
          <w:tcPr/>
          <w:p>
            <w:pPr>
              <w:pStyle w:val="Compact"/>
            </w:pPr>
            <w:r>
              <w:t xml:space="preserve">Exclusive breastfeeding (EBF) and early initiation below the 70% World Health Assembly target</w:t>
            </w:r>
          </w:p>
        </w:tc>
        <w:tc>
          <w:tcPr/>
          <w:p>
            <w:pPr>
              <w:pStyle w:val="Compact"/>
            </w:pPr>
            <w:r>
              <w:t xml:space="preserve">~41–46% take the recommended course</w:t>
            </w:r>
          </w:p>
        </w:tc>
      </w:tr>
      <w:tr>
        <w:tc>
          <w:tcPr/>
          <w:p>
            <w:pPr>
              <w:pStyle w:val="Compact"/>
            </w:pPr>
            <w:r>
              <w:rPr>
                <w:b/>
                <w:bCs/>
              </w:rPr>
              <w:t xml:space="preserve">The best-evidenced lever</w:t>
            </w:r>
          </w:p>
        </w:tc>
        <w:tc>
          <w:tcPr/>
          <w:p>
            <w:pPr>
              <w:pStyle w:val="Compact"/>
            </w:pPr>
            <w:r>
              <w:t xml:space="preserve">Decentralise treatment to community health workers (CHWs) — large coverage gains where they are placed to reach unserved populations</w:t>
            </w:r>
          </w:p>
        </w:tc>
        <w:tc>
          <w:tcPr/>
          <w:p>
            <w:pPr>
              <w:pStyle w:val="Compact"/>
            </w:pPr>
            <w:r>
              <w:t xml:space="preserve">4–8 postnatal contacts; facility start plus community continuation</w:t>
            </w:r>
          </w:p>
        </w:tc>
        <w:tc>
          <w:tcPr/>
          <w:p>
            <w:pPr>
              <w:pStyle w:val="Compact"/>
            </w:pPr>
            <w:r>
              <w:t xml:space="preserve">Antenatal care (ANC) contact and counselling quality</w:t>
            </w:r>
          </w:p>
        </w:tc>
      </w:tr>
      <w:tr>
        <w:tc>
          <w:tcPr/>
          <w:p>
            <w:pPr>
              <w:pStyle w:val="Compact"/>
            </w:pPr>
            <w:r>
              <w:rPr>
                <w:b/>
                <w:bCs/>
              </w:rPr>
              <w:t xml:space="preserve">Scaling position</w:t>
            </w:r>
          </w:p>
        </w:tc>
        <w:tc>
          <w:tcPr/>
          <w:p>
            <w:pPr>
              <w:pStyle w:val="Compact"/>
            </w:pPr>
            <w:r>
              <w:t xml:space="preserve">Health-system treatment</w:t>
            </w:r>
          </w:p>
        </w:tc>
        <w:tc>
          <w:tcPr/>
          <w:p>
            <w:pPr>
              <w:pStyle w:val="Compact"/>
            </w:pPr>
            <w:r>
              <w:t xml:space="preserve">Behavioural (community) / platform (facility)</w:t>
            </w:r>
          </w:p>
        </w:tc>
        <w:tc>
          <w:tcPr/>
          <w:p>
            <w:pPr>
              <w:pStyle w:val="Compact"/>
            </w:pPr>
            <w:r>
              <w:t xml:space="preserve">Commodity</w:t>
            </w:r>
          </w:p>
        </w:tc>
      </w:tr>
    </w:tbl>
    <w:p>
      <w:pPr>
        <w:pStyle w:val="BodyText"/>
      </w:pPr>
      <w:r>
        <w:t xml:space="preserve">This report does not grade the three against one another (§2.5). They are measured on different outcomes, against different comparators, in literatures at different stages. Cost is excluded by design and is the subject of a later phase.</w:t>
      </w:r>
    </w:p>
    <w:bookmarkEnd w:id="25"/>
    <w:bookmarkStart w:id="26" w:name="Xecae21d26201dc8839025a87862f3d78b3abecc"/>
    <w:p>
      <w:pPr>
        <w:pStyle w:val="Heading2"/>
      </w:pPr>
      <w:r>
        <w:t xml:space="preserve">3.2 The evidence base independently reproduces the partners’ framing</w:t>
      </w:r>
    </w:p>
    <w:p>
      <w:pPr>
        <w:pStyle w:val="FirstParagraph"/>
      </w:pPr>
      <w:r>
        <w:t xml:space="preserve">Save the Children selected these three interventions to test the ScaleWorks model from three different scaling positions. That framing was imposed on the review at design time. It is therefore worth noting that the corpus reproduces it without being asked to.</w:t>
      </w:r>
    </w:p>
    <w:p>
      <w:pPr>
        <w:pStyle w:val="BodyText"/>
      </w:pPr>
      <w:r>
        <w:t xml:space="preserve">Every extracted implementation finding was tagged to one of six dimensions. Their distribution differs sharply and systematically by intervention: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jc w:val="right"/>
            </w:pPr>
            <w:r>
              <w:t xml:space="preserve">CMAM</w:t>
            </w:r>
          </w:p>
        </w:tc>
        <w:tc>
          <w:tcPr/>
          <w:p>
            <w:pPr>
              <w:pStyle w:val="Compact"/>
              <w:jc w:val="right"/>
            </w:pPr>
            <w:r>
              <w:t xml:space="preserve">Breastfeeding</w:t>
            </w:r>
          </w:p>
        </w:tc>
        <w:tc>
          <w:tcPr/>
          <w:p>
            <w:pPr>
              <w:pStyle w:val="Compact"/>
              <w:jc w:val="right"/>
            </w:pPr>
            <w:r>
              <w:t xml:space="preserve">MMS</w:t>
            </w:r>
          </w:p>
        </w:tc>
      </w:tr>
      <w:tr>
        <w:tc>
          <w:tcPr/>
          <w:p>
            <w:pPr>
              <w:pStyle w:val="Compact"/>
            </w:pPr>
            <w:r>
              <w:t xml:space="preserve">Barriers</w:t>
            </w:r>
          </w:p>
        </w:tc>
        <w:tc>
          <w:tcPr/>
          <w:p>
            <w:pPr>
              <w:pStyle w:val="Compact"/>
              <w:jc w:val="right"/>
            </w:pPr>
            <w:r>
              <w:t xml:space="preserve">227 (24.2%)</w:t>
            </w:r>
          </w:p>
        </w:tc>
        <w:tc>
          <w:tcPr/>
          <w:p>
            <w:pPr>
              <w:pStyle w:val="Compact"/>
              <w:jc w:val="right"/>
            </w:pPr>
            <w:r>
              <w:t xml:space="preserve">217 (28.2%)</w:t>
            </w:r>
          </w:p>
        </w:tc>
        <w:tc>
          <w:tcPr/>
          <w:p>
            <w:pPr>
              <w:pStyle w:val="Compact"/>
              <w:jc w:val="right"/>
            </w:pPr>
            <w:r>
              <w:t xml:space="preserve">176 (23.1%)</w:t>
            </w:r>
          </w:p>
        </w:tc>
      </w:tr>
      <w:tr>
        <w:tc>
          <w:tcPr/>
          <w:p>
            <w:pPr>
              <w:pStyle w:val="Compact"/>
            </w:pPr>
            <w:r>
              <w:t xml:space="preserve">Delivery platform</w:t>
            </w:r>
          </w:p>
        </w:tc>
        <w:tc>
          <w:tcPr/>
          <w:p>
            <w:pPr>
              <w:pStyle w:val="Compact"/>
              <w:jc w:val="right"/>
            </w:pPr>
            <w:r>
              <w:t xml:space="preserve">203 (21.6%)</w:t>
            </w:r>
          </w:p>
        </w:tc>
        <w:tc>
          <w:tcPr/>
          <w:p>
            <w:pPr>
              <w:pStyle w:val="Compact"/>
              <w:jc w:val="right"/>
            </w:pPr>
            <w:r>
              <w:t xml:space="preserve">176 (22.9%)</w:t>
            </w:r>
          </w:p>
        </w:tc>
        <w:tc>
          <w:tcPr/>
          <w:p>
            <w:pPr>
              <w:pStyle w:val="Compact"/>
              <w:jc w:val="right"/>
            </w:pPr>
            <w:r>
              <w:t xml:space="preserve">158 (20.7%)</w:t>
            </w:r>
          </w:p>
        </w:tc>
      </w:tr>
      <w:tr>
        <w:tc>
          <w:tcPr/>
          <w:p>
            <w:pPr>
              <w:pStyle w:val="Compact"/>
            </w:pPr>
            <w:r>
              <w:rPr>
                <w:b/>
                <w:bCs/>
              </w:rPr>
              <w:t xml:space="preserve">Scalability</w:t>
            </w:r>
          </w:p>
        </w:tc>
        <w:tc>
          <w:tcPr/>
          <w:p>
            <w:pPr>
              <w:pStyle w:val="Compact"/>
              <w:jc w:val="right"/>
            </w:pPr>
            <w:r>
              <w:rPr>
                <w:b/>
                <w:bCs/>
              </w:rPr>
              <w:t xml:space="preserve">154 (16.4%)</w:t>
            </w:r>
          </w:p>
        </w:tc>
        <w:tc>
          <w:tcPr/>
          <w:p>
            <w:pPr>
              <w:pStyle w:val="Compact"/>
              <w:jc w:val="right"/>
            </w:pPr>
            <w:r>
              <w:t xml:space="preserve">97 (12.6%)</w:t>
            </w:r>
          </w:p>
        </w:tc>
        <w:tc>
          <w:tcPr/>
          <w:p>
            <w:pPr>
              <w:pStyle w:val="Compact"/>
              <w:jc w:val="right"/>
            </w:pPr>
            <w:r>
              <w:t xml:space="preserve">90 (11.8%)</w:t>
            </w:r>
          </w:p>
        </w:tc>
      </w:tr>
      <w:tr>
        <w:tc>
          <w:tcPr/>
          <w:p>
            <w:pPr>
              <w:pStyle w:val="Compact"/>
            </w:pPr>
            <w:r>
              <w:t xml:space="preserve">Coverage</w:t>
            </w:r>
          </w:p>
        </w:tc>
        <w:tc>
          <w:tcPr/>
          <w:p>
            <w:pPr>
              <w:pStyle w:val="Compact"/>
              <w:jc w:val="right"/>
            </w:pPr>
            <w:r>
              <w:t xml:space="preserve">133 (14.2%)</w:t>
            </w:r>
          </w:p>
        </w:tc>
        <w:tc>
          <w:tcPr/>
          <w:p>
            <w:pPr>
              <w:pStyle w:val="Compact"/>
              <w:jc w:val="right"/>
            </w:pPr>
            <w:r>
              <w:t xml:space="preserve">102 (13.2%)</w:t>
            </w:r>
          </w:p>
        </w:tc>
        <w:tc>
          <w:tcPr/>
          <w:p>
            <w:pPr>
              <w:pStyle w:val="Compact"/>
              <w:jc w:val="right"/>
            </w:pPr>
            <w:r>
              <w:t xml:space="preserve">114 (15.0%)</w:t>
            </w:r>
          </w:p>
        </w:tc>
      </w:tr>
      <w:tr>
        <w:tc>
          <w:tcPr/>
          <w:p>
            <w:pPr>
              <w:pStyle w:val="Compact"/>
            </w:pPr>
            <w:r>
              <w:rPr>
                <w:b/>
                <w:bCs/>
              </w:rPr>
              <w:t xml:space="preserve">Adherence</w:t>
            </w:r>
          </w:p>
        </w:tc>
        <w:tc>
          <w:tcPr/>
          <w:p>
            <w:pPr>
              <w:pStyle w:val="Compact"/>
              <w:jc w:val="right"/>
            </w:pPr>
            <w:r>
              <w:t xml:space="preserve">129 (13.8%)</w:t>
            </w:r>
          </w:p>
        </w:tc>
        <w:tc>
          <w:tcPr/>
          <w:p>
            <w:pPr>
              <w:pStyle w:val="Compact"/>
              <w:jc w:val="right"/>
            </w:pPr>
            <w:r>
              <w:t xml:space="preserve">64 (8.3%)</w:t>
            </w:r>
          </w:p>
        </w:tc>
        <w:tc>
          <w:tcPr/>
          <w:p>
            <w:pPr>
              <w:pStyle w:val="Compact"/>
              <w:jc w:val="right"/>
            </w:pPr>
            <w:r>
              <w:rPr>
                <w:b/>
                <w:bCs/>
              </w:rPr>
              <w:t xml:space="preserve">140 (18.4%)</w:t>
            </w:r>
          </w:p>
        </w:tc>
      </w:tr>
      <w:tr>
        <w:tc>
          <w:tcPr/>
          <w:p>
            <w:pPr>
              <w:pStyle w:val="Compact"/>
            </w:pPr>
            <w:r>
              <w:rPr>
                <w:b/>
                <w:bCs/>
              </w:rPr>
              <w:t xml:space="preserve">Equity</w:t>
            </w:r>
          </w:p>
        </w:tc>
        <w:tc>
          <w:tcPr/>
          <w:p>
            <w:pPr>
              <w:pStyle w:val="Compact"/>
              <w:jc w:val="right"/>
            </w:pPr>
            <w:r>
              <w:t xml:space="preserve">92 (9.8%)</w:t>
            </w:r>
          </w:p>
        </w:tc>
        <w:tc>
          <w:tcPr/>
          <w:p>
            <w:pPr>
              <w:pStyle w:val="Compact"/>
              <w:jc w:val="right"/>
            </w:pPr>
            <w:r>
              <w:rPr>
                <w:b/>
                <w:bCs/>
              </w:rPr>
              <w:t xml:space="preserve">114 (14.8%)</w:t>
            </w:r>
          </w:p>
        </w:tc>
        <w:tc>
          <w:tcPr/>
          <w:p>
            <w:pPr>
              <w:pStyle w:val="Compact"/>
              <w:jc w:val="right"/>
            </w:pPr>
            <w:r>
              <w:t xml:space="preserve">84 (11.0%)</w:t>
            </w:r>
          </w:p>
        </w:tc>
      </w:tr>
      <w:tr>
        <w:tc>
          <w:tcPr/>
          <w:p>
            <w:pPr>
              <w:pStyle w:val="Compact"/>
            </w:pPr>
            <w:r>
              <w:rPr>
                <w:i/>
                <w:iCs/>
              </w:rPr>
              <w:t xml:space="preserve">Total findings</w:t>
            </w:r>
          </w:p>
        </w:tc>
        <w:tc>
          <w:tcPr/>
          <w:p>
            <w:pPr>
              <w:pStyle w:val="Compact"/>
              <w:jc w:val="right"/>
            </w:pPr>
            <w:r>
              <w:rPr>
                <w:i/>
                <w:iCs/>
              </w:rPr>
              <w:t xml:space="preserve">938</w:t>
            </w:r>
          </w:p>
        </w:tc>
        <w:tc>
          <w:tcPr/>
          <w:p>
            <w:pPr>
              <w:pStyle w:val="Compact"/>
              <w:jc w:val="right"/>
            </w:pPr>
            <w:r>
              <w:rPr>
                <w:i/>
                <w:iCs/>
              </w:rPr>
              <w:t xml:space="preserve">770</w:t>
            </w:r>
          </w:p>
        </w:tc>
        <w:tc>
          <w:tcPr/>
          <w:p>
            <w:pPr>
              <w:pStyle w:val="Compact"/>
              <w:jc w:val="right"/>
            </w:pPr>
            <w:r>
              <w:rPr>
                <w:i/>
                <w:iCs/>
              </w:rPr>
              <w:t xml:space="preserve">762</w:t>
            </w:r>
          </w:p>
        </w:tc>
      </w:tr>
    </w:tbl>
    <w:p>
      <w:pPr>
        <w:pStyle w:val="BodyText"/>
      </w:pPr>
      <w:r>
        <w:t xml:space="preserve">MMS carries more than twice the adherence share of breastfeeding (18.4% against 8.3%) — as expected for a commodity whose failure mode is people not taking it. CMAM carries the highest scalability share, consistent with a health-system intervention whose problem is extending a service. Breastfeeding carries the highest equity share, consistent with a behavioural intervention shaped by social norms, employment and household power.</w:t>
      </w:r>
    </w:p>
    <w:p>
      <w:pPr>
        <w:pStyle w:val="BodyText"/>
      </w:pPr>
      <w:r>
        <w:t xml:space="preserve">The same pattern appears in what each literature chooses to compare. The dominant comparison type in each block is precisely that intervention’s live policy question: for MMS it is</w:t>
      </w:r>
      <w:r>
        <w:t xml:space="preserve"> </w:t>
      </w:r>
      <w:r>
        <w:rPr>
          <w:b/>
          <w:bCs/>
        </w:rPr>
        <w:t xml:space="preserve">MMS versus IFA</w:t>
      </w:r>
      <w:r>
        <w:t xml:space="preserve"> </w:t>
      </w:r>
      <w:r>
        <w:t xml:space="preserve">(65 records — the transition decision); for CMAM it is delivery and protocol innovation (26 community-versus-facility, 25 product head-to-heads, 17 simplified-versus-standard); for breastfeeding it is</w:t>
      </w:r>
      <w:r>
        <w:t xml:space="preserve"> </w:t>
      </w:r>
      <w:r>
        <w:rPr>
          <w:b/>
          <w:bCs/>
        </w:rPr>
        <w:t xml:space="preserve">intervention versus usual care</w:t>
      </w:r>
      <w:r>
        <w:t xml:space="preserve"> </w:t>
      </w:r>
      <w:r>
        <w:t xml:space="preserve">(50 records — still establishing that support works, in a literature where efficacy is otherwise settled).</w:t>
      </w:r>
    </w:p>
    <w:p>
      <w:pPr>
        <w:pStyle w:val="BodyText"/>
      </w:pPr>
      <w:r>
        <w:t xml:space="preserve">This is a useful validation. The three-position framing is not an overlay we imposed on the evidence; it is visible in the shape of the evidence itself.</w:t>
      </w:r>
    </w:p>
    <w:bookmarkEnd w:id="26"/>
    <w:bookmarkStart w:id="31" w:name="the-three-scaling-positions"/>
    <w:p>
      <w:pPr>
        <w:pStyle w:val="Heading2"/>
      </w:pPr>
      <w:r>
        <w:t xml:space="preserve">3.3 The three scaling positions</w:t>
      </w:r>
    </w:p>
    <w:bookmarkStart w:id="27" w:name="commodity-based-mms"/>
    <w:p>
      <w:pPr>
        <w:pStyle w:val="Heading3"/>
      </w:pPr>
      <w:r>
        <w:t xml:space="preserve">Commodity-based — MMS</w:t>
      </w:r>
    </w:p>
    <w:p>
      <w:pPr>
        <w:pStyle w:val="FirstParagraph"/>
      </w:pPr>
      <w:r>
        <w:rPr>
          <w:b/>
          <w:bCs/>
        </w:rPr>
        <w:t xml:space="preserve">The binding constraint is adherence and supply, not efficacy.</w:t>
      </w:r>
      <w:r>
        <w:t xml:space="preserve"> </w:t>
      </w:r>
      <w:r>
        <w:t xml:space="preserve">The benefit of MMS over IFA on birth outcomes is settled across an individual-participant-data (IPD) meta-analysis of 42,618 women (PMID 39890230), a 72-study Campbell review (PMID 37051178) and a 169-trial network meta-analysis (PMID 31348509). What is not settled is getting the tablets taken. Pooled adherence in Ethiopia was 41.4% (DOI 10.1186/s12884-020-2835-0) and 46.2% (DOI 10.1186/s12978-019-0848-9), against a real-world range from 19.7% in Afar to 82% in parts of north India.</w:t>
      </w:r>
    </w:p>
    <w:p>
      <w:pPr>
        <w:pStyle w:val="BodyText"/>
      </w:pPr>
      <w:r>
        <w:rPr>
          <w:b/>
          <w:bCs/>
        </w:rPr>
        <w:t xml:space="preserve">Transition mechanics are the actual deliverable.</w:t>
      </w:r>
      <w:r>
        <w:t xml:space="preserve"> </w:t>
      </w:r>
      <w:r>
        <w:t xml:space="preserve">MMS substitutes for a commodity already flowing through antenatal platforms, which makes it the most operationally tractable of the three — the channel exists. Pakistan and Nigeria have committed to nationwide scale-up and are running implementation research on the transition through existing IFA channels (PMID 41978151); Ethiopia has piloted MMS through Ministry of Health antenatal structures using staff already experienced with IFA (PMID 39887615); and Nepal’s review authors propose its Female Community Health Volunteer platform, which lifted IFA coverage from 23% to 91%, as the vehicle for the switch (DOI 10.1111/mcn.13173).</w:t>
      </w:r>
    </w:p>
    <w:p>
      <w:pPr>
        <w:pStyle w:val="BodyText"/>
      </w:pPr>
      <w:r>
        <w:rPr>
          <w:b/>
          <w:bCs/>
        </w:rPr>
        <w:t xml:space="preserve">Procurement and supply are documented failure points.</w:t>
      </w:r>
      <w:r>
        <w:t xml:space="preserve"> </w:t>
      </w:r>
      <w:r>
        <w:t xml:space="preserve">Six of eight Indian facilities had insufficient IFA stock (PMID 42051413); Pakistan’s supply to Lady Health Workers is quota-based rather than demand-based and subject to frequent stock-outs (DOI 10.1186/1471-2393-14-344); a nationwide shortage left 14 of 24 Nepali facilities without IFA (DOI 10.1186/s12913-019-4871-x). WHO recommends antenatal MMS in the context of rigorous research, and only 2 of 72 studies were effectiveness trials (PMID 32075071) — the implementation evidence is thinner than the efficacy evidence.</w:t>
      </w:r>
    </w:p>
    <w:p>
      <w:pPr>
        <w:pStyle w:val="BodyText"/>
      </w:pPr>
      <w:r>
        <w:rPr>
          <w:b/>
          <w:bCs/>
        </w:rPr>
        <w:t xml:space="preserve">What raises adherence:</w:t>
      </w:r>
      <w:r>
        <w:t xml:space="preserve"> </w:t>
      </w:r>
      <w:r>
        <w:t xml:space="preserve">early antenatal registration (OR 2.54) and four or more visits (OR 3.66) (DOI 10.1186/s12884-020-2835-0); receiving counselling (OR 2.34) (DOI 10.1186/s12978-019-0848-9); weekly rather than daily dosing (RR 1.60, 1.34–1.91) at slightly lower haemoglobin (PMID 39780191). The most effective South Asian programmes combined home delivery of free supplements, quality counselling, husband and family engagement, and supply-chain strengthening (PMID 30499258).</w:t>
      </w:r>
    </w:p>
    <w:bookmarkEnd w:id="27"/>
    <w:bookmarkStart w:id="28" w:name="X40e67490dbba30dd1b46b4ecd46122f201e3828"/>
    <w:p>
      <w:pPr>
        <w:pStyle w:val="Heading3"/>
      </w:pPr>
      <w:r>
        <w:t xml:space="preserve">Behavioural / social and behaviour change communication (SBCC) — Breastfeeding, community package</w:t>
      </w:r>
    </w:p>
    <w:p>
      <w:pPr>
        <w:pStyle w:val="FirstParagraph"/>
      </w:pPr>
      <w:r>
        <w:rPr>
          <w:b/>
          <w:bCs/>
        </w:rPr>
        <w:t xml:space="preserve">The binding constraint is contact dose and coverage.</w:t>
      </w:r>
      <w:r>
        <w:t xml:space="preserve"> </w:t>
      </w:r>
      <w:r>
        <w:t xml:space="preserve">The flagship Cochrane review of 116 trials and 98,816 mother-infant pairs found support reduces breastfeeding cessation whether delivered by professionals or by lay peers, is more effective in low- and middle-income countries (LMICs) than high-income countries (meta-regression RR 1.15, 1.05–1.27), and that a moderate schedule of about</w:t>
      </w:r>
      <w:r>
        <w:t xml:space="preserve"> </w:t>
      </w:r>
      <w:r>
        <w:rPr>
          <w:b/>
          <w:bCs/>
        </w:rPr>
        <w:t xml:space="preserve">4–8 postnatal contacts outperforms low-intensity support</w:t>
      </w:r>
      <w:r>
        <w:t xml:space="preserve"> </w:t>
      </w:r>
      <w:r>
        <w:t xml:space="preserve">(RR 0.82, 0.70–0.95 for cessation of exclusive breastfeeding at 6 months). Its authors describe what remains as a scaling-up problem (PMID 36282618).</w:t>
      </w:r>
    </w:p>
    <w:p>
      <w:pPr>
        <w:pStyle w:val="BodyText"/>
      </w:pPr>
      <w:r>
        <w:rPr>
          <w:b/>
          <w:bCs/>
        </w:rPr>
        <w:t xml:space="preserve">CHW delivery is what carries the survival benefit.</w:t>
      </w:r>
      <w:r>
        <w:t xml:space="preserve"> </w:t>
      </w:r>
      <w:r>
        <w:t xml:space="preserve">Home-based postnatal care reduced neonatal mortality RR 0.76 (0.62–0.92) with exclusive breastfeeding OR 2.88 — but the mortality benefit came from CHW-delivered visits (RR 0.69) and not from health-professional-delivered ones (RR 1.26), with larger effects above 70% coverage and beyond three visits (PMID 31852432). Peer support is markedly stronger in LMICs than in high-income settings (exclusive breastfeeding RR 0.63 against 0.90) (PMID 22277543).</w:t>
      </w:r>
    </w:p>
    <w:p>
      <w:pPr>
        <w:pStyle w:val="BodyText"/>
      </w:pPr>
      <w:r>
        <w:rPr>
          <w:b/>
          <w:bCs/>
        </w:rPr>
        <w:t xml:space="preserve">Demand-side barriers are the characteristic failure mode</w:t>
      </w:r>
      <w:r>
        <w:t xml:space="preserve">, and they are social rather than logistical: maternal employment and return to work is the most-studied barrier (PMID 28965508); caesarean delivery, perceived insufficient milk, colostrum discarding, and mother-in-law and grandmother influence recur across syntheses (PMID 34090461, 41024075). Structural levers are under-evidenced — of 115 reviews, only 7% addressed policy levers such as the Code or maternity benefits, and only 17.4% were LMIC-only (PMID 35315573).</w:t>
      </w:r>
    </w:p>
    <w:p>
      <w:pPr>
        <w:pStyle w:val="BodyText"/>
      </w:pPr>
      <w:r>
        <w:rPr>
          <w:b/>
          <w:bCs/>
        </w:rPr>
        <w:t xml:space="preserve">Cash-plus pairing</w:t>
      </w:r>
      <w:r>
        <w:t xml:space="preserve">, which CARE specifically raised, has suggestive but weak support: 3 of 6 incentive trials were positive and the evidence is low-quality (PMID 41257659). In Nepal, participatory women’s groups combined with cash or food transfers raised iron-folate consumption 2.5–4.6 fold (DOI 10.1093/jn/nxy109) — the strongest cash-plus signal in the corpus, though on supplementation rather than breastfeeding.</w:t>
      </w:r>
    </w:p>
    <w:bookmarkEnd w:id="28"/>
    <w:bookmarkStart w:id="29" w:name="health-system-treatment-cmam"/>
    <w:p>
      <w:pPr>
        <w:pStyle w:val="Heading3"/>
      </w:pPr>
      <w:r>
        <w:t xml:space="preserve">Health-system treatment — CMAM</w:t>
      </w:r>
    </w:p>
    <w:p>
      <w:pPr>
        <w:pStyle w:val="FirstParagraph"/>
      </w:pPr>
      <w:r>
        <w:rPr>
          <w:b/>
          <w:bCs/>
        </w:rPr>
        <w:t xml:space="preserve">The binding constraint is coverage, and it is severe.</w:t>
      </w:r>
      <w:r>
        <w:t xml:space="preserve"> </w:t>
      </w:r>
      <w:r>
        <w:t xml:space="preserve">Across 44 SQUEAC/SLEAC assessments in 21 countries in 2012–13, mean CMAM coverage was</w:t>
      </w:r>
      <w:r>
        <w:t xml:space="preserve"> </w:t>
      </w:r>
      <w:r>
        <w:rPr>
          <w:b/>
          <w:bCs/>
        </w:rPr>
        <w:t xml:space="preserve">38.3%</w:t>
      </w:r>
      <w:r>
        <w:t xml:space="preserve">, with 38 of the 44 programmes below their applicable minimum standard (DOI 10.1371/journal.pone.0128666). Programme quality compounds it: pooled recovery across 54 sub-Saharan studies and 140,148 children was 71.2%, below the 75% Sphere minimum (PMID 32187182), and in Ethiopia recovery</w:t>
      </w:r>
      <w:r>
        <w:t xml:space="preserve"> </w:t>
      </w:r>
      <w:r>
        <w:rPr>
          <w:b/>
          <w:bCs/>
        </w:rPr>
        <w:t xml:space="preserve">declined as the national programme matured</w:t>
      </w:r>
      <w:r>
        <w:t xml:space="preserve">, 72% before 2015 to 69% after (PMID 32631260).</w:t>
      </w:r>
    </w:p>
    <w:p>
      <w:pPr>
        <w:pStyle w:val="BodyText"/>
      </w:pPr>
      <w:r>
        <w:rPr>
          <w:b/>
          <w:bCs/>
        </w:rPr>
        <w:t xml:space="preserve">Decentralisation to CHWs is the best-evidenced coverage lever in the review.</w:t>
      </w:r>
      <w:r>
        <w:t xml:space="preserve"> </w:t>
      </w:r>
      <w:r>
        <w:t xml:space="preserve">Mali moved SAM treatment coverage from 28.7% to 57.1% and 20.4% to 61.1% in two districts —</w:t>
      </w:r>
      <w:r>
        <w:t xml:space="preserve"> </w:t>
      </w:r>
      <w:r>
        <w:rPr>
          <w:b/>
          <w:bCs/>
        </w:rPr>
        <w:t xml:space="preserve">but saw no change in a third (28.4% to 28.5%)</w:t>
      </w:r>
      <w:r>
        <w:t xml:space="preserve">, which the authors attribute to where workers were placed relative to unserved populations (DOI 10.1186/s12960-022-00771-8). Tanzania recorded CHW home-treatment coverage of 80.9% against 41.7% in a concurrent comparison area, with default 6.5% against roughly 21% and better cure (RR 1.17, 1.05–1.31), in a non-randomised pilot (DOI 10.1038/s41598-021-81811-6). Mauritania rose from 53.6% to 71.7% (DOI 10.3390/children8121132).</w:t>
      </w:r>
    </w:p>
    <w:p>
      <w:pPr>
        <w:pStyle w:val="BodyText"/>
      </w:pPr>
      <w:r>
        <w:rPr>
          <w:b/>
          <w:bCs/>
        </w:rPr>
        <w:t xml:space="preserve">But the lever has a documented exception.</w:t>
      </w:r>
      <w:r>
        <w:t xml:space="preserve"> </w:t>
      </w:r>
      <w:r>
        <w:t xml:space="preserve">In Pakistan, Lady Health Worker-delivered treatment achieved</w:t>
      </w:r>
      <w:r>
        <w:t xml:space="preserve"> </w:t>
      </w:r>
      <w:r>
        <w:rPr>
          <w:i/>
          <w:iCs/>
        </w:rPr>
        <w:t xml:space="preserve">lower</w:t>
      </w:r>
      <w:r>
        <w:t xml:space="preserve"> </w:t>
      </w:r>
      <w:r>
        <w:t xml:space="preserve">recovery than facility care — 76.0% against 82.95%, with higher defaulting and non-response (DOI 10.1186/s12889-018-6382-9). And in Burundi, clinic-based systematic screening enrolled 98% of detected cases against 8% for community mass screening (PMID 32003813). Decentralisation reliably buys reach; it does not automatically buy quality.</w:t>
      </w:r>
    </w:p>
    <w:p>
      <w:pPr>
        <w:pStyle w:val="BodyText"/>
      </w:pPr>
      <w:r>
        <w:rPr>
          <w:b/>
          <w:bCs/>
        </w:rPr>
        <w:t xml:space="preserve">Simplified protocols hold up and cut commodity load.</w:t>
      </w:r>
      <w:r>
        <w:t xml:space="preserve"> </w:t>
      </w:r>
      <w:r>
        <w:t xml:space="preserve">ComPAS, combining SAM and MAM treatment into one product, achieved recovery as good as standard care (risk difference 0.03, −0.05–0.10, N=2,488) (DOI 10.1371/journal.pmed.1003192). OptiMA, reducing RUTF dosing, was non-inferior (RD 2.0, −2.0–6.4) using</w:t>
      </w:r>
      <w:r>
        <w:t xml:space="preserve"> </w:t>
      </w:r>
      <w:r>
        <w:rPr>
          <w:b/>
          <w:bCs/>
        </w:rPr>
        <w:t xml:space="preserve">about 46% less RUTF</w:t>
      </w:r>
      <w:r>
        <w:t xml:space="preserve"> </w:t>
      </w:r>
      <w:r>
        <w:t xml:space="preserve">— 78 sachets per child against 147 (DOI 10.1016/j.eclinm.2023.101878). In humanitarian Niger, the simplified protocol raised coverage 51.7 percentage points against 35.6 for standard, using 70 rather than 95 sachets per child cured (DOI 10.3390/nu15081975).</w:t>
      </w:r>
    </w:p>
    <w:p>
      <w:pPr>
        <w:pStyle w:val="BodyText"/>
      </w:pPr>
      <w:r>
        <w:rPr>
          <w:b/>
          <w:bCs/>
        </w:rPr>
        <w:t xml:space="preserve">Supply is the recurring institutional barrier.</w:t>
      </w:r>
      <w:r>
        <w:t xml:space="preserve"> </w:t>
      </w:r>
      <w:r>
        <w:t xml:space="preserve">RUTF stock-outs are pervasive — one Ghanaian district had RUTF in stock at none of eight facilities with only 25% of staff trained (DOI 10.1016/j.jtumed.2023.02.002); in Bangladesh RUTF was unavailable at every facility visited, with stakeholder resistance to importing or producing it described as the most fundamental constraint to scale-up (DOI 10.1186/s12913-018-3087-9). Household sharing and resale of RUTF is common (DOI 10.1182/bloodadvances.2023010789).</w:t>
      </w:r>
    </w:p>
    <w:bookmarkEnd w:id="29"/>
    <w:bookmarkStart w:id="30" w:name="X9715d8202f4c061bb11492fb54d88e644c2f703"/>
    <w:p>
      <w:pPr>
        <w:pStyle w:val="Heading3"/>
      </w:pPr>
      <w:r>
        <w:t xml:space="preserve">Breastfeeding, facility package — the boundary case</w:t>
      </w:r>
    </w:p>
    <w:p>
      <w:pPr>
        <w:pStyle w:val="FirstParagraph"/>
      </w:pPr>
      <w:r>
        <w:t xml:space="preserve">Facility-based breastfeeding support sits between the behavioural and health-system positions: it delivers a behavioural outcome through a health-system platform. The PICOS specification anticipated this, and it turns out to be analytically useful, because the facility package behaves like a health-system intervention rather than a behavioural one.</w:t>
      </w:r>
    </w:p>
    <w:p>
      <w:pPr>
        <w:pStyle w:val="BodyText"/>
      </w:pPr>
      <w:r>
        <w:t xml:space="preserve">It carries the strongest single clinical result in the review — Kangaroo Mother Care reduces neonatal mortality RR 0.68 (0.53–0.87) across 12 studies and 10,505 infants at high certainty, with severe infection RR 0.85 and exclusive breastfeeding at discharge RR 1.48 (DOI 10.1136/bmjgh-2022-010728) — and health-system strengthening produces the largest early-initiation effect in the corpus, RR 2.76 (1.96–3.88), far above behavioural interventions at RR 1.48 (PMID 40426155).</w:t>
      </w:r>
    </w:p>
    <w:p>
      <w:pPr>
        <w:pStyle w:val="BodyText"/>
      </w:pPr>
      <w:r>
        <w:t xml:space="preserve">Its constraint is also health-system shaped: fewer than 4% of African deliveries occur in BFHI-designated hospitals and only about 60% in any facility (PMID 39764605); KMC scale-up is slow, infrastructure-sensitive, and bottlenecked on financing, community ownership and service delivery in 10 of 12 assessed countries (PMID 26391115).</w:t>
      </w:r>
    </w:p>
    <w:p>
      <w:pPr>
        <w:pStyle w:val="BodyText"/>
      </w:pPr>
      <w:r>
        <w:rPr>
          <w:b/>
          <w:bCs/>
        </w:rPr>
        <w:t xml:space="preserve">This matters for design.</w:t>
      </w:r>
      <w:r>
        <w:t xml:space="preserve"> </w:t>
      </w:r>
      <w:r>
        <w:t xml:space="preserve">The facility and community packages are not competing options. The facility package supplies a mortality-reducing intervention and the birth-moment contact; the community package supplies the repeated contacts that sustain the behaviour. The best-evidenced configuration is facility-anchored initiation — KMC and skin-to-skin — followed by CHW-delivered postnatal counselling at 4–8 contacts. KMC itself works in both settings (facility RR 0.62, community RR 0.71).</w:t>
      </w:r>
    </w:p>
    <w:bookmarkEnd w:id="30"/>
    <w:bookmarkEnd w:id="31"/>
    <w:bookmarkStart w:id="32" w:name="what-is-common-across-all-three"/>
    <w:p>
      <w:pPr>
        <w:pStyle w:val="Heading2"/>
      </w:pPr>
      <w:r>
        <w:t xml:space="preserve">3.4 What is common across all three</w:t>
      </w:r>
    </w:p>
    <w:p>
      <w:pPr>
        <w:pStyle w:val="FirstParagraph"/>
      </w:pPr>
      <w:r>
        <w:rPr>
          <w:b/>
          <w:bCs/>
        </w:rPr>
        <w:t xml:space="preserve">One lever recurs in every intervention: moving delivery from facilities to community health workers.</w:t>
      </w:r>
      <w:r>
        <w:t xml:space="preserve"> </w:t>
      </w:r>
      <w:r>
        <w:t xml:space="preserve">It produced the largest coverage gains in the CMAM evidence; it is what makes home-visit postnatal care reduce mortality; and community volunteers were central to Nepal’s rise in supplement coverage — though that rise closely tracked a simultaneous expansion in antenatal care, so it cannot be credited to the volunteers alone. If there is a single transferable finding in this review, it is that the community health worker cadre is the binding platform for all three interventions — which is also why the country analysis weights the existence of a functioning national CHW cadre so heavily.</w:t>
      </w:r>
    </w:p>
    <w:p>
      <w:pPr>
        <w:pStyle w:val="BodyText"/>
      </w:pPr>
      <w:r>
        <w:rPr>
          <w:b/>
          <w:bCs/>
        </w:rPr>
        <w:t xml:space="preserve">Three qualifications travel with it.</w:t>
      </w:r>
      <w:r>
        <w:t xml:space="preserve"> </w:t>
      </w:r>
      <w:r>
        <w:t xml:space="preserve">Coverage gains do not guarantee quality gains — Pakistan’s CHW-delivered CMAM under-performed facility care. Screening coverage is not treatment coverage — integrating SQ-LNS into community screening in Mali raised screening coverage 40 percentage points but left treatment coverage at 7.6% (DOI 10.1371/journal.pmed.1002892). And CHW cadres are already loaded: Nepal’s volunteers are documented as overburdened across family planning, immunisation and emergency response with their unpaid status contested (DOI 10.1111/mcn.13173), and India’s performance incentives pull ASHA effort away from counselling toward incentivised tasks (DOI 10.1186/s12960-015-0094-3). Adding a fourth mandate to an unpaid, overstretched cadre is a design risk, not a free win.</w:t>
      </w:r>
    </w:p>
    <w:p>
      <w:pPr>
        <w:pStyle w:val="BodyText"/>
      </w:pPr>
      <w:r>
        <w:rPr>
          <w:b/>
          <w:bCs/>
        </w:rPr>
        <w:t xml:space="preserve">Efficacy is settled for all three; none of the three fails on evidence.</w:t>
      </w:r>
      <w:r>
        <w:t xml:space="preserve"> </w:t>
      </w:r>
      <w:r>
        <w:t xml:space="preserve">CMAM’s evidence is the most structurally constrained — comparisons are food against food, never treatment against nothing — but that is a feature of its literature rather than doubt about whether treating acute malnutrition works. In every case the gap between what the trials show and what programmes achieve is larger than the gap between the intervention and its comparator. That is the operationalization gap the partners identified, and this review quantifies it: about one-third coverage for CMAM, 41–46% adherence for MMS, and below-target exclusive breastfeeding almost everywhere.</w:t>
      </w:r>
    </w:p>
    <w:bookmarkEnd w:id="32"/>
    <w:bookmarkStart w:id="33" w:name="Xb574e825e0f091cea237a0d3c1060eabe61c46d"/>
    <w:p>
      <w:pPr>
        <w:pStyle w:val="Heading2"/>
      </w:pPr>
      <w:r>
        <w:t xml:space="preserve">3.5 What the evidence says about combining interventions</w:t>
      </w:r>
    </w:p>
    <w:p>
      <w:pPr>
        <w:pStyle w:val="FirstParagraph"/>
      </w:pPr>
      <w:r>
        <w:t xml:space="preserve">Partners asked whether we can know how to optimally combine interventions. The honest answer has three parts, and the middle one is a warning.</w:t>
      </w:r>
    </w:p>
    <w:p>
      <w:pPr>
        <w:pStyle w:val="BodyText"/>
      </w:pPr>
      <w:r>
        <w:rPr>
          <w:b/>
          <w:bCs/>
        </w:rPr>
        <w:t xml:space="preserve">Combining</w:t>
      </w:r>
      <w:r>
        <w:rPr>
          <w:b/>
          <w:bCs/>
        </w:rPr>
        <w:t xml:space="preserve"> </w:t>
      </w:r>
      <w:r>
        <w:rPr>
          <w:b/>
          <w:bCs/>
          <w:i/>
          <w:iCs/>
        </w:rPr>
        <w:t xml:space="preserve">within</w:t>
      </w:r>
      <w:r>
        <w:rPr>
          <w:b/>
          <w:bCs/>
        </w:rPr>
        <w:t xml:space="preserve"> </w:t>
      </w:r>
      <w:r>
        <w:rPr>
          <w:b/>
          <w:bCs/>
        </w:rPr>
        <w:t xml:space="preserve">an intervention is well evidenced.</w:t>
      </w:r>
      <w:r>
        <w:t xml:space="preserve"> </w:t>
      </w:r>
      <w:r>
        <w:t xml:space="preserve">This is what the simplified CMAM protocols are — ComPAS merges severe and moderate malnutrition treatment into one product and holds recovery; OptiMA tapers dosing and holds recovery on 46% less commodity. Likewise the facility-plus-community breastfeeding configuration in §6.6 is a within-intervention combination with strong support: both components are independently evidenced</w:t>
      </w:r>
      <w:r>
        <w:t xml:space="preserve"> </w:t>
      </w:r>
      <w:r>
        <w:rPr>
          <w:i/>
          <w:iCs/>
        </w:rPr>
        <w:t xml:space="preserve">and</w:t>
      </w:r>
      <w:r>
        <w:t xml:space="preserve"> </w:t>
      </w:r>
      <w:r>
        <w:t xml:space="preserve">Kangaroo Mother Care is shown to work through either channel, which is what licenses combining rather than choosing.</w:t>
      </w:r>
    </w:p>
    <w:p>
      <w:pPr>
        <w:pStyle w:val="BodyText"/>
      </w:pPr>
      <w:r>
        <w:rPr>
          <w:b/>
          <w:bCs/>
        </w:rPr>
        <w:t xml:space="preserve">Combining an intervention with a demand-side mechanism is well evidenced.</w:t>
      </w:r>
      <w:r>
        <w:t xml:space="preserve"> </w:t>
      </w:r>
      <w:r>
        <w:t xml:space="preserve">Three trials matter here. Adding an unconditional cash transfer to malnutrition treatment in the Democratic Republic of the Congo improved recovery (hazard ratio 1.35), cut relapse (HR 0.21) and reduced defaulting from 6.0% to 1.4% (DOI 10.1186/s12916-017-0848-y). Participatory women’s groups plus cash or food transfers in Nepal raised iron-folate consumption 2.5–4.6 fold (DOI 10.1093/jn/nxy109). A cash-plus package in Burkina Faso improved linear growth and reduced low birthweight relative to community activities alone, even though cash reached only about 42% of eligible beneficiaries (PMID 33201927). The pattern is consistent: pairing a supply-side intervention with something that addresses household constraint works.</w:t>
      </w:r>
    </w:p>
    <w:p>
      <w:pPr>
        <w:pStyle w:val="BodyText"/>
      </w:pPr>
      <w:r>
        <w:rPr>
          <w:b/>
          <w:bCs/>
        </w:rPr>
        <w:t xml:space="preserve">Combining the three interventions with each other is essentially untested — and one attempt backfired.</w:t>
      </w:r>
      <w:r>
        <w:t xml:space="preserve"> </w:t>
      </w:r>
      <w:r>
        <w:t xml:space="preserve">No trial in this corpus combines CMAM, breastfeeding support and antenatal supplementation. More importantly, integrating small-quantity lipid-based nutrient supplements into community screening in Mali raised screening coverage 40 percentage points and cut acute-malnutrition incidence by about 30%, but produced</w:t>
      </w:r>
      <w:r>
        <w:t xml:space="preserve"> </w:t>
      </w:r>
      <w:r>
        <w:rPr>
          <w:b/>
          <w:bCs/>
        </w:rPr>
        <w:t xml:space="preserve">no improvement in treatment coverage and unintentionally reduced CMAM enrolment</w:t>
      </w:r>
      <w:r>
        <w:t xml:space="preserve"> </w:t>
      </w:r>
      <w:r>
        <w:t xml:space="preserve">(DOI 10.1371/journal.pmed.1002892).</w:t>
      </w:r>
    </w:p>
    <w:p>
      <w:pPr>
        <w:pStyle w:val="BodyText"/>
      </w:pPr>
      <w:r>
        <w:t xml:space="preserve">That case is the single most important caution in this section.</w:t>
      </w:r>
      <w:r>
        <w:t xml:space="preserve"> </w:t>
      </w:r>
      <w:r>
        <w:rPr>
          <w:b/>
          <w:bCs/>
        </w:rPr>
        <w:t xml:space="preserve">Bundling is not additive.</w:t>
      </w:r>
      <w:r>
        <w:t xml:space="preserve"> </w:t>
      </w:r>
      <w:r>
        <w:t xml:space="preserve">Adding a task to a community platform can displace an existing one, and the displaced task may be the one that saves lives. Any co-design combining interventions should treat</w:t>
      </w:r>
      <w:r>
        <w:t xml:space="preserve"> </w:t>
      </w:r>
      <w:r>
        <w:t xml:space="preserve">“does enrolment in the existing service hold?”</w:t>
      </w:r>
      <w:r>
        <w:t xml:space="preserve"> </w:t>
      </w:r>
      <w:r>
        <w:t xml:space="preserve">as a primary outcome, not an assumption.</w:t>
      </w:r>
    </w:p>
    <w:p>
      <w:pPr>
        <w:pStyle w:val="BodyText"/>
      </w:pPr>
      <w:r>
        <w:t xml:space="preserve">Of 648 on-topic records, 173 discuss integration or combination in some form, but only</w:t>
      </w:r>
      <w:r>
        <w:t xml:space="preserve"> </w:t>
      </w:r>
      <w:r>
        <w:rPr>
          <w:b/>
          <w:bCs/>
        </w:rPr>
        <w:t xml:space="preserve">nine actually test one</w:t>
      </w:r>
      <w:r>
        <w:t xml:space="preserve">. This is a genuine evidence gap, and it is worth saying plainly to partners rather than assembling a combination story the literature does not support.</w:t>
      </w:r>
    </w:p>
    <w:bookmarkEnd w:id="33"/>
    <w:bookmarkStart w:id="38" w:name="three-packaged-program-options"/>
    <w:p>
      <w:pPr>
        <w:pStyle w:val="Heading2"/>
      </w:pPr>
      <w:r>
        <w:t xml:space="preserve">3.6 Three packaged program options</w:t>
      </w:r>
    </w:p>
    <w:p>
      <w:pPr>
        <w:pStyle w:val="FirstParagraph"/>
      </w:pPr>
      <w:r>
        <w:t xml:space="preserve">Partners asked us to distil the evidence into a small number of concrete alternatives. The three below are what the evidence actually supports as coherent packages. They map onto the three scaling positions — which is not a coincidence, since the interventions were chosen to test exactly that.</w:t>
      </w:r>
    </w:p>
    <w:bookmarkStart w:id="34" w:name="Xfab41e522cad0c8c61ff5c64a8788e47ec87008"/>
    <w:p>
      <w:pPr>
        <w:pStyle w:val="Heading3"/>
      </w:pPr>
      <w:r>
        <w:t xml:space="preserve">Option A — Facility-anchored newborn survival package</w:t>
      </w:r>
    </w:p>
    <w:p>
      <w:pPr>
        <w:pStyle w:val="FirstParagraph"/>
      </w:pPr>
      <w:r>
        <w:rPr>
          <w:b/>
          <w:bCs/>
        </w:rPr>
        <w:t xml:space="preserve">What it is.</w:t>
      </w:r>
      <w:r>
        <w:t xml:space="preserve"> </w:t>
      </w:r>
      <w:r>
        <w:t xml:space="preserve">Kangaroo Mother Care, skin-to-skin contact and early initiation of breastfeeding anchored at the facility around delivery, followed by community health worker postnatal counselling at 4–8 contacts.</w:t>
      </w:r>
    </w:p>
    <w:p>
      <w:pPr>
        <w:pStyle w:val="BodyText"/>
      </w:pPr>
      <w:r>
        <w:rPr>
          <w:b/>
          <w:bCs/>
        </w:rPr>
        <w:t xml:space="preserve">Why it is the strongest on evidence.</w:t>
      </w:r>
      <w:r>
        <w:t xml:space="preserve"> </w:t>
      </w:r>
      <w:r>
        <w:t xml:space="preserve">It contains the single best-evidenced result in this review — Kangaroo Mother Care reducing neonatal mortality by 32% at high certainty — plus a second independent mortality pathway through CHW home visits (RR 0.69) and the largest early-initiation effect in the corpus through health-system strengthening (RR 2.76). No other package here has a high-certainty mortality result.</w:t>
      </w:r>
    </w:p>
    <w:p>
      <w:pPr>
        <w:pStyle w:val="BodyText"/>
      </w:pPr>
      <w:r>
        <w:rPr>
          <w:b/>
          <w:bCs/>
        </w:rPr>
        <w:t xml:space="preserve">Binding constraint.</w:t>
      </w:r>
      <w:r>
        <w:t xml:space="preserve"> </w:t>
      </w:r>
      <w:r>
        <w:t xml:space="preserve">Facility coverage. Fewer than 4% of African deliveries occur in Baby-Friendly-designated hospitals and only about 60% in any facility; Kangaroo Mother Care scale-up is infrastructure- and staffing-sensitive.</w:t>
      </w:r>
    </w:p>
    <w:p>
      <w:pPr>
        <w:pStyle w:val="BodyText"/>
      </w:pPr>
      <w:r>
        <w:rPr>
          <w:b/>
          <w:bCs/>
        </w:rPr>
        <w:t xml:space="preserve">What must be true in the country.</w:t>
      </w:r>
      <w:r>
        <w:t xml:space="preserve"> </w:t>
      </w:r>
      <w:r>
        <w:t xml:space="preserve">Enough births occurring in facilities to anchor the package, and a community cadre able to carry postnatal visits.</w:t>
      </w:r>
    </w:p>
    <w:bookmarkEnd w:id="34"/>
    <w:bookmarkStart w:id="35" w:name="Xdd481f0fdf96a1dec466666527891a21c62c4c9"/>
    <w:p>
      <w:pPr>
        <w:pStyle w:val="Heading3"/>
      </w:pPr>
      <w:r>
        <w:t xml:space="preserve">Option B — Community-delivered treatment and coverage package</w:t>
      </w:r>
    </w:p>
    <w:p>
      <w:pPr>
        <w:pStyle w:val="FirstParagraph"/>
      </w:pPr>
      <w:r>
        <w:rPr>
          <w:b/>
          <w:bCs/>
        </w:rPr>
        <w:t xml:space="preserve">What it is.</w:t>
      </w:r>
      <w:r>
        <w:t xml:space="preserve"> </w:t>
      </w:r>
      <w:r>
        <w:t xml:space="preserve">Acute malnutrition treatment decentralised to community health workers, using a simplified or combined protocol, with an explicit supervision and supply-chain component.</w:t>
      </w:r>
    </w:p>
    <w:p>
      <w:pPr>
        <w:pStyle w:val="BodyText"/>
      </w:pPr>
      <w:r>
        <w:rPr>
          <w:b/>
          <w:bCs/>
        </w:rPr>
        <w:t xml:space="preserve">Why the third element is not optional.</w:t>
      </w:r>
      <w:r>
        <w:t xml:space="preserve"> </w:t>
      </w:r>
      <w:r>
        <w:t xml:space="preserve">Decentralisation produced large coverage gains across independent country evaluations, and simplified protocols hold recovery on about 46% less therapeutic food. But real-world recovery already sits below the Sphere minimum, it</w:t>
      </w:r>
      <w:r>
        <w:t xml:space="preserve"> </w:t>
      </w:r>
      <w:r>
        <w:rPr>
          <w:i/>
          <w:iCs/>
        </w:rPr>
        <w:t xml:space="preserve">declined</w:t>
      </w:r>
      <w:r>
        <w:t xml:space="preserve"> </w:t>
      </w:r>
      <w:r>
        <w:t xml:space="preserve">in the one country that scaled nationally, and in Pakistan CHW-delivered treatment under-performed facility care. The evidence says the first two components will not hold without the third.</w:t>
      </w:r>
    </w:p>
    <w:p>
      <w:pPr>
        <w:pStyle w:val="BodyText"/>
      </w:pPr>
      <w:r>
        <w:rPr>
          <w:b/>
          <w:bCs/>
        </w:rPr>
        <w:t xml:space="preserve">Binding constraint.</w:t>
      </w:r>
      <w:r>
        <w:t xml:space="preserve"> </w:t>
      </w:r>
      <w:r>
        <w:t xml:space="preserve">Treatment quality at scale, and therapeutic food supply — stock-outs are pervasive and in one country the commodity was unavailable at every facility visited.</w:t>
      </w:r>
    </w:p>
    <w:p>
      <w:pPr>
        <w:pStyle w:val="BodyText"/>
      </w:pPr>
      <w:r>
        <w:rPr>
          <w:b/>
          <w:bCs/>
        </w:rPr>
        <w:t xml:space="preserve">What must be true in the country.</w:t>
      </w:r>
      <w:r>
        <w:t xml:space="preserve"> </w:t>
      </w:r>
      <w:r>
        <w:t xml:space="preserve">Community health workers legally authorised to treat, a secured therapeutic food supply, and supervision that is actually resourced rather than assumed.</w:t>
      </w:r>
    </w:p>
    <w:bookmarkEnd w:id="35"/>
    <w:bookmarkStart w:id="36" w:name="Xb27cbbc5a840acc61924f206a800bfaaaac27ce"/>
    <w:p>
      <w:pPr>
        <w:pStyle w:val="Heading3"/>
      </w:pPr>
      <w:r>
        <w:t xml:space="preserve">Option C — Antenatal commodity transition package</w:t>
      </w:r>
    </w:p>
    <w:p>
      <w:pPr>
        <w:pStyle w:val="FirstParagraph"/>
      </w:pPr>
      <w:r>
        <w:rPr>
          <w:b/>
          <w:bCs/>
        </w:rPr>
        <w:t xml:space="preserve">What it is.</w:t>
      </w:r>
      <w:r>
        <w:t xml:space="preserve"> </w:t>
      </w:r>
      <w:r>
        <w:t xml:space="preserve">Substituting multiple micronutrient supplementation for iron-folic acid in routine antenatal care, paired with antenatal contact intensification, counselling quality improvement, and supply-chain strengthening.</w:t>
      </w:r>
    </w:p>
    <w:p>
      <w:pPr>
        <w:pStyle w:val="BodyText"/>
      </w:pPr>
      <w:r>
        <w:rPr>
          <w:b/>
          <w:bCs/>
        </w:rPr>
        <w:t xml:space="preserve">Why it is the most operationally tractable.</w:t>
      </w:r>
      <w:r>
        <w:t xml:space="preserve"> </w:t>
      </w:r>
      <w:r>
        <w:t xml:space="preserve">The delivery channel already exists — this replaces a commodity already flowing through antenatal platforms rather than building a new service. Three countries in the corpus are already doing it: Pakistan and Nigeria have committed to nationwide scale-up with implementation research running, and Ethiopia is piloting within Ministry of Health structures. Nepal’s platform lifted supplement coverage from 23% to 91% and its authors propose it for exactly this switch.</w:t>
      </w:r>
    </w:p>
    <w:p>
      <w:pPr>
        <w:pStyle w:val="BodyText"/>
      </w:pPr>
      <w:r>
        <w:rPr>
          <w:b/>
          <w:bCs/>
        </w:rPr>
        <w:t xml:space="preserve">Binding constraint.</w:t>
      </w:r>
      <w:r>
        <w:t xml:space="preserve"> </w:t>
      </w:r>
      <w:r>
        <w:t xml:space="preserve">Adherence at 41–46%, and WHO’s current stance recommending MMS in the context of research rather than as routine standard of care — explicitly identified in the corpus as a barrier to adoption.</w:t>
      </w:r>
    </w:p>
    <w:p>
      <w:pPr>
        <w:pStyle w:val="BodyText"/>
      </w:pPr>
      <w:r>
        <w:rPr>
          <w:b/>
          <w:bCs/>
        </w:rPr>
        <w:t xml:space="preserve">What must be true in the country.</w:t>
      </w:r>
      <w:r>
        <w:t xml:space="preserve"> </w:t>
      </w:r>
      <w:r>
        <w:t xml:space="preserve">Adequate antenatal contact frequency to carry adherence, a policy window for the substitution, and an MMS formulation whose iron dose matches current practice.</w:t>
      </w:r>
    </w:p>
    <w:bookmarkEnd w:id="36"/>
    <w:bookmarkStart w:id="37" w:name="comparing-the-three"/>
    <w:p>
      <w:pPr>
        <w:pStyle w:val="Heading3"/>
      </w:pPr>
      <w:r>
        <w:t xml:space="preserve">Comparing the three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rPr>
                <w:b/>
                <w:bCs/>
              </w:rPr>
              <w:t xml:space="preserve">A — Facility newborn</w:t>
            </w:r>
          </w:p>
        </w:tc>
        <w:tc>
          <w:tcPr/>
          <w:p>
            <w:pPr>
              <w:pStyle w:val="Compact"/>
            </w:pPr>
            <w:r>
              <w:rPr>
                <w:b/>
                <w:bCs/>
              </w:rPr>
              <w:t xml:space="preserve">B — Community treatment</w:t>
            </w:r>
          </w:p>
        </w:tc>
        <w:tc>
          <w:tcPr/>
          <w:p>
            <w:pPr>
              <w:pStyle w:val="Compact"/>
            </w:pPr>
            <w:r>
              <w:rPr>
                <w:b/>
                <w:bCs/>
              </w:rPr>
              <w:t xml:space="preserve">C — Antenatal commodity</w:t>
            </w:r>
          </w:p>
        </w:tc>
      </w:tr>
      <w:tr>
        <w:tc>
          <w:tcPr/>
          <w:p>
            <w:pPr>
              <w:pStyle w:val="Compact"/>
            </w:pPr>
            <w:r>
              <w:t xml:space="preserve">Scaling position</w:t>
            </w:r>
          </w:p>
        </w:tc>
        <w:tc>
          <w:tcPr/>
          <w:p>
            <w:pPr>
              <w:pStyle w:val="Compact"/>
            </w:pPr>
            <w:r>
              <w:t xml:space="preserve">Health-system platform + behavioural</w:t>
            </w:r>
          </w:p>
        </w:tc>
        <w:tc>
          <w:tcPr/>
          <w:p>
            <w:pPr>
              <w:pStyle w:val="Compact"/>
            </w:pPr>
            <w:r>
              <w:t xml:space="preserve">Health-system treatment</w:t>
            </w:r>
          </w:p>
        </w:tc>
        <w:tc>
          <w:tcPr/>
          <w:p>
            <w:pPr>
              <w:pStyle w:val="Compact"/>
            </w:pPr>
            <w:r>
              <w:t xml:space="preserve">Commodity</w:t>
            </w:r>
          </w:p>
        </w:tc>
      </w:tr>
      <w:tr>
        <w:tc>
          <w:tcPr/>
          <w:p>
            <w:pPr>
              <w:pStyle w:val="Compact"/>
            </w:pPr>
            <w:r>
              <w:t xml:space="preserve">Primary intervention</w:t>
            </w:r>
          </w:p>
        </w:tc>
        <w:tc>
          <w:tcPr/>
          <w:p>
            <w:pPr>
              <w:pStyle w:val="Compact"/>
            </w:pPr>
            <w:r>
              <w:t xml:space="preserve">Breastfeeding support</w:t>
            </w:r>
          </w:p>
        </w:tc>
        <w:tc>
          <w:tcPr/>
          <w:p>
            <w:pPr>
              <w:pStyle w:val="Compact"/>
            </w:pPr>
            <w:r>
              <w:t xml:space="preserve">CMAM</w:t>
            </w:r>
          </w:p>
        </w:tc>
        <w:tc>
          <w:tcPr/>
          <w:p>
            <w:pPr>
              <w:pStyle w:val="Compact"/>
            </w:pPr>
            <w:r>
              <w:t xml:space="preserve">MMS</w:t>
            </w:r>
          </w:p>
        </w:tc>
      </w:tr>
      <w:tr>
        <w:tc>
          <w:tcPr/>
          <w:p>
            <w:pPr>
              <w:pStyle w:val="Compact"/>
            </w:pPr>
            <w:r>
              <w:t xml:space="preserve">Strongest evidence</w:t>
            </w:r>
          </w:p>
        </w:tc>
        <w:tc>
          <w:tcPr/>
          <w:p>
            <w:pPr>
              <w:pStyle w:val="Compact"/>
            </w:pPr>
            <w:r>
              <w:rPr>
                <w:b/>
                <w:bCs/>
              </w:rPr>
              <w:t xml:space="preserve">Mortality, high certainty</w:t>
            </w:r>
            <w:r>
              <w:t xml:space="preserve"> </w:t>
            </w:r>
            <w:r>
              <w:t xml:space="preserve">(RR 0.68)</w:t>
            </w:r>
          </w:p>
        </w:tc>
        <w:tc>
          <w:tcPr/>
          <w:p>
            <w:pPr>
              <w:pStyle w:val="Compact"/>
            </w:pPr>
            <w:r>
              <w:t xml:space="preserve">Coverage doubling, replicated 4×</w:t>
            </w:r>
          </w:p>
        </w:tc>
        <w:tc>
          <w:tcPr/>
          <w:p>
            <w:pPr>
              <w:pStyle w:val="Compact"/>
            </w:pPr>
            <w:r>
              <w:t xml:space="preserve">Birth outcomes, settled (RR 0.73–0.85)</w:t>
            </w:r>
          </w:p>
        </w:tc>
      </w:tr>
      <w:tr>
        <w:tc>
          <w:tcPr/>
          <w:p>
            <w:pPr>
              <w:pStyle w:val="Compact"/>
            </w:pPr>
            <w:r>
              <w:t xml:space="preserve">Delivers mortality benefit?</w:t>
            </w:r>
          </w:p>
        </w:tc>
        <w:tc>
          <w:tcPr/>
          <w:p>
            <w:pPr>
              <w:pStyle w:val="Compact"/>
            </w:pPr>
            <w:r>
              <w:rPr>
                <w:b/>
                <w:bCs/>
              </w:rPr>
              <w:t xml:space="preserve">Yes</w:t>
            </w:r>
          </w:p>
        </w:tc>
        <w:tc>
          <w:tcPr/>
          <w:p>
            <w:pPr>
              <w:pStyle w:val="Compact"/>
            </w:pPr>
            <w:r>
              <w:t xml:space="preserve">Indirectly (treats a ~11% case-fatality condition)</w:t>
            </w:r>
          </w:p>
        </w:tc>
        <w:tc>
          <w:tcPr/>
          <w:p>
            <w:pPr>
              <w:pStyle w:val="Compact"/>
            </w:pPr>
            <w:r>
              <w:rPr>
                <w:b/>
                <w:bCs/>
              </w:rPr>
              <w:t xml:space="preserve">No</w:t>
            </w:r>
            <w:r>
              <w:t xml:space="preserve"> </w:t>
            </w:r>
            <w:r>
              <w:t xml:space="preserve">— birth outcomes only</w:t>
            </w:r>
          </w:p>
        </w:tc>
      </w:tr>
      <w:tr>
        <w:tc>
          <w:tcPr/>
          <w:p>
            <w:pPr>
              <w:pStyle w:val="Compact"/>
            </w:pPr>
            <w:r>
              <w:t xml:space="preserve">Channel already exists?</w:t>
            </w:r>
          </w:p>
        </w:tc>
        <w:tc>
          <w:tcPr/>
          <w:p>
            <w:pPr>
              <w:pStyle w:val="Compact"/>
            </w:pPr>
            <w:r>
              <w:t xml:space="preserve">Partly — facilities yes, postnatal visits often not</w:t>
            </w:r>
          </w:p>
        </w:tc>
        <w:tc>
          <w:tcPr/>
          <w:p>
            <w:pPr>
              <w:pStyle w:val="Compact"/>
            </w:pPr>
            <w:r>
              <w:t xml:space="preserve">Rarely — only Ethiopia at national scale</w:t>
            </w:r>
          </w:p>
        </w:tc>
        <w:tc>
          <w:tcPr/>
          <w:p>
            <w:pPr>
              <w:pStyle w:val="Compact"/>
            </w:pPr>
            <w:r>
              <w:rPr>
                <w:b/>
                <w:bCs/>
              </w:rPr>
              <w:t xml:space="preserve">Yes</w:t>
            </w:r>
            <w:r>
              <w:t xml:space="preserve"> </w:t>
            </w:r>
            <w:r>
              <w:t xml:space="preserve">— replaces an existing commodity</w:t>
            </w:r>
          </w:p>
        </w:tc>
      </w:tr>
      <w:tr>
        <w:tc>
          <w:tcPr/>
          <w:p>
            <w:pPr>
              <w:pStyle w:val="Compact"/>
            </w:pPr>
            <w:r>
              <w:t xml:space="preserve">Commodity dependence</w:t>
            </w:r>
          </w:p>
        </w:tc>
        <w:tc>
          <w:tcPr/>
          <w:p>
            <w:pPr>
              <w:pStyle w:val="Compact"/>
            </w:pPr>
            <w:r>
              <w:t xml:space="preserve">None</w:t>
            </w:r>
          </w:p>
        </w:tc>
        <w:tc>
          <w:tcPr/>
          <w:p>
            <w:pPr>
              <w:pStyle w:val="Compact"/>
            </w:pPr>
            <w:r>
              <w:t xml:space="preserve">High (therapeutic food)</w:t>
            </w:r>
          </w:p>
        </w:tc>
        <w:tc>
          <w:tcPr/>
          <w:p>
            <w:pPr>
              <w:pStyle w:val="Compact"/>
            </w:pPr>
            <w:r>
              <w:t xml:space="preserve">Moderate (tablets)</w:t>
            </w:r>
          </w:p>
        </w:tc>
      </w:tr>
      <w:tr>
        <w:tc>
          <w:tcPr/>
          <w:p>
            <w:pPr>
              <w:pStyle w:val="Compact"/>
            </w:pPr>
            <w:r>
              <w:t xml:space="preserve">Hardest part</w:t>
            </w:r>
          </w:p>
        </w:tc>
        <w:tc>
          <w:tcPr/>
          <w:p>
            <w:pPr>
              <w:pStyle w:val="Compact"/>
            </w:pPr>
            <w:r>
              <w:t xml:space="preserve">Facility coverage</w:t>
            </w:r>
          </w:p>
        </w:tc>
        <w:tc>
          <w:tcPr/>
          <w:p>
            <w:pPr>
              <w:pStyle w:val="Compact"/>
            </w:pPr>
            <w:r>
              <w:t xml:space="preserve">Quality and supply at scale</w:t>
            </w:r>
          </w:p>
        </w:tc>
        <w:tc>
          <w:tcPr/>
          <w:p>
            <w:pPr>
              <w:pStyle w:val="Compact"/>
            </w:pPr>
            <w:r>
              <w:t xml:space="preserve">Adherence</w:t>
            </w:r>
          </w:p>
        </w:tc>
      </w:tr>
      <w:tr>
        <w:tc>
          <w:tcPr/>
          <w:p>
            <w:pPr>
              <w:pStyle w:val="Compact"/>
            </w:pPr>
            <w:r>
              <w:t xml:space="preserve">Time to visible result</w:t>
            </w:r>
          </w:p>
        </w:tc>
        <w:tc>
          <w:tcPr/>
          <w:p>
            <w:pPr>
              <w:pStyle w:val="Compact"/>
            </w:pPr>
            <w:r>
              <w:t xml:space="preserve">Medium</w:t>
            </w:r>
          </w:p>
        </w:tc>
        <w:tc>
          <w:tcPr/>
          <w:p>
            <w:pPr>
              <w:pStyle w:val="Compact"/>
            </w:pPr>
            <w:r>
              <w:t xml:space="preserve">Fast (treatment is acute)</w:t>
            </w:r>
          </w:p>
        </w:tc>
        <w:tc>
          <w:tcPr/>
          <w:p>
            <w:pPr>
              <w:pStyle w:val="Compact"/>
            </w:pPr>
            <w:r>
              <w:t xml:space="preserve">Slow (birth outcomes accrue over a pregnancy cohort)</w:t>
            </w:r>
          </w:p>
        </w:tc>
      </w:tr>
    </w:tbl>
    <w:p>
      <w:pPr>
        <w:pStyle w:val="BodyText"/>
      </w:pPr>
      <w:r>
        <w:rPr>
          <w:b/>
          <w:bCs/>
        </w:rPr>
        <w:t xml:space="preserve">Three observations for choosing between them.</w:t>
      </w:r>
    </w:p>
    <w:p>
      <w:pPr>
        <w:pStyle w:val="BodyText"/>
      </w:pPr>
      <w:r>
        <w:rPr>
          <w:i/>
          <w:iCs/>
        </w:rPr>
        <w:t xml:space="preserve">They are not equally novel.</w:t>
      </w:r>
      <w:r>
        <w:t xml:space="preserve"> </w:t>
      </w:r>
      <w:r>
        <w:t xml:space="preserve">Option C is a substitution into an existing channel; Option B often means building a service that does not yet exist. That difference matters more for feasibility than any effect size in this report.</w:t>
      </w:r>
    </w:p>
    <w:p>
      <w:pPr>
        <w:pStyle w:val="BodyText"/>
      </w:pPr>
      <w:r>
        <w:rPr>
          <w:i/>
          <w:iCs/>
        </w:rPr>
        <w:t xml:space="preserve">Options A and B compete for the same cadre.</w:t>
      </w:r>
      <w:r>
        <w:t xml:space="preserve"> </w:t>
      </w:r>
      <w:r>
        <w:t xml:space="preserve">Both load community health workers — one with postnatal visits, one with treatment. The Mali case in §3.5 shows what can happen when a platform is asked to absorb an additional task. Running both simultaneously through one cadre is the highest-risk configuration in this report, and should be costed as a workforce expansion rather than an add-on.</w:t>
      </w:r>
    </w:p>
    <w:p>
      <w:pPr>
        <w:pStyle w:val="BodyText"/>
      </w:pPr>
      <w:r>
        <w:rPr>
          <w:i/>
          <w:iCs/>
        </w:rPr>
        <w:t xml:space="preserve">Only Option A carries a high-certainty mortality result.</w:t>
      </w:r>
      <w:r>
        <w:t xml:space="preserve"> </w:t>
      </w:r>
      <w:r>
        <w:t xml:space="preserve">If the governing objective is deaths averted with the firmest possible evidence, that is the discriminating fact. If the objective is reach and system change, Option B addresses the largest documented coverage gap. If the objective is fastest tractable win through existing government infrastructure, Option C is the least disruptive.</w:t>
      </w:r>
    </w:p>
    <w:bookmarkEnd w:id="37"/>
    <w:bookmarkEnd w:id="38"/>
    <w:bookmarkEnd w:id="39"/>
    <w:bookmarkStart w:id="50" w:name="X2ea76910fa383c3045834a4f32f72cf8cde6feb"/>
    <w:p>
      <w:pPr>
        <w:pStyle w:val="Heading1"/>
      </w:pPr>
      <w:r>
        <w:t xml:space="preserve">4. Where: what the evidence says about countries</w:t>
      </w:r>
    </w:p>
    <w:bookmarkStart w:id="40" w:name="what-this-section-can-and-cannot-settle"/>
    <w:p>
      <w:pPr>
        <w:pStyle w:val="Heading2"/>
      </w:pPr>
      <w:r>
        <w:t xml:space="preserve">4.1 What this section can and cannot settle</w:t>
      </w:r>
    </w:p>
    <w:p>
      <w:pPr>
        <w:pStyle w:val="FirstParagraph"/>
      </w:pPr>
      <w:r>
        <w:t xml:space="preserve">CARE’s stated end goal is to</w:t>
      </w:r>
      <w:r>
        <w:t xml:space="preserve"> </w:t>
      </w:r>
      <w:r>
        <w:rPr>
          <w:i/>
          <w:iCs/>
        </w:rPr>
        <w:t xml:space="preserve">identify one country in which to co-design a national-level intervention leveraging existing government infrastructure</w:t>
      </w:r>
      <w:r>
        <w:t xml:space="preserve">. This section sets out what the corpus knows about individual countries.</w:t>
      </w:r>
    </w:p>
    <w:p>
      <w:pPr>
        <w:pStyle w:val="BodyText"/>
      </w:pPr>
      <w:r>
        <w:t xml:space="preserve">The evidence base can tell us, for a given country: whether the three interventions have actually been</w:t>
      </w:r>
      <w:r>
        <w:t xml:space="preserve"> </w:t>
      </w:r>
      <w:r>
        <w:rPr>
          <w:b/>
          <w:bCs/>
        </w:rPr>
        <w:t xml:space="preserve">studied there</w:t>
      </w:r>
      <w:r>
        <w:t xml:space="preserve"> </w:t>
      </w:r>
      <w:r>
        <w:t xml:space="preserve">and in what depth; whether delivery has been evaluated</w:t>
      </w:r>
      <w:r>
        <w:t xml:space="preserve"> </w:t>
      </w:r>
      <w:r>
        <w:rPr>
          <w:b/>
          <w:bCs/>
        </w:rPr>
        <w:t xml:space="preserve">through government platforms</w:t>
      </w:r>
      <w:r>
        <w:t xml:space="preserve"> </w:t>
      </w:r>
      <w:r>
        <w:t xml:space="preserve">rather than only through NGO pilots; what</w:t>
      </w:r>
      <w:r>
        <w:t xml:space="preserve"> </w:t>
      </w:r>
      <w:r>
        <w:rPr>
          <w:b/>
          <w:bCs/>
        </w:rPr>
        <w:t xml:space="preserve">performance shortfalls</w:t>
      </w:r>
      <w:r>
        <w:t xml:space="preserve"> </w:t>
      </w:r>
      <w:r>
        <w:t xml:space="preserve">are documented; and what</w:t>
      </w:r>
      <w:r>
        <w:t xml:space="preserve"> </w:t>
      </w:r>
      <w:r>
        <w:rPr>
          <w:b/>
          <w:bCs/>
        </w:rPr>
        <w:t xml:space="preserve">specific barriers</w:t>
      </w:r>
      <w:r>
        <w:t xml:space="preserve"> </w:t>
      </w:r>
      <w:r>
        <w:t xml:space="preserve">have been observed in that health system.</w:t>
      </w:r>
    </w:p>
    <w:p>
      <w:pPr>
        <w:pStyle w:val="BodyText"/>
      </w:pPr>
      <w:r>
        <w:t xml:space="preserve">It cannot tell us about fragility and security, CARE’s own operational footprint and partnerships, the current political appetite of a given ministry, the donor and financing landscape, or cost. Those factors are decisive for a co-design decision and none of them are in scope here.</w:t>
      </w:r>
    </w:p>
    <w:p>
      <w:pPr>
        <w:pStyle w:val="BodyText"/>
      </w:pPr>
      <w:r>
        <w:rPr>
          <w:b/>
          <w:bCs/>
        </w:rPr>
        <w:t xml:space="preserve">An earlier draft scored and ranked countries on a 100-point composite. That has been removed.</w:t>
      </w:r>
      <w:r>
        <w:t xml:space="preserve"> </w:t>
      </w:r>
      <w:r>
        <w:t xml:space="preserve">Building it surfaced the reason: the components could not be measured on a common scale without embedding arbitrary choices. Two distortions had to be corrected during construction — a platform detector that credited whichever community-health-worker cadres happened to be named, and implementation signals leaking from multi-country reviews into every country they mentioned, which alone moved one country from fourth place to eighth. Both were fixable, but they showed how sensitive the ordering was to decisions with no evidential basis. A composite that moves four places on a measurement choice is not measuring what it appears to measure.</w:t>
      </w:r>
    </w:p>
    <w:p>
      <w:pPr>
        <w:pStyle w:val="BodyText"/>
      </w:pPr>
      <w:r>
        <w:t xml:space="preserve">What follows instead is descriptive: how much evidence exists per country, and what that evidence says.</w:t>
      </w:r>
      <w:r>
        <w:t xml:space="preserve"> </w:t>
      </w:r>
      <w:r>
        <w:rPr>
          <w:b/>
          <w:bCs/>
        </w:rPr>
        <w:t xml:space="preserve">No country is ranked or recommended.</w:t>
      </w:r>
    </w:p>
    <w:bookmarkEnd w:id="40"/>
    <w:bookmarkStart w:id="41" w:name="where-the-evidence-is"/>
    <w:p>
      <w:pPr>
        <w:pStyle w:val="Heading2"/>
      </w:pPr>
      <w:r>
        <w:t xml:space="preserve">4.2 Where the evidence is</w:t>
      </w:r>
    </w:p>
    <w:p>
      <w:pPr>
        <w:pStyle w:val="FirstParagraph"/>
      </w:pPr>
      <w:r>
        <w:t xml:space="preserve">582 of the 648 on-topic records carry a usable country tag. Multi-country reviews are counted separately from country-specific studies throughout, because a review naming nine countries is evidence</w:t>
      </w:r>
      <w:r>
        <w:t xml:space="preserve"> </w:t>
      </w:r>
      <w:r>
        <w:rPr>
          <w:i/>
          <w:iCs/>
        </w:rPr>
        <w:t xml:space="preserve">mentioning</w:t>
      </w:r>
      <w:r>
        <w:t xml:space="preserve"> </w:t>
      </w:r>
      <w:r>
        <w:t xml:space="preserve">a country rather than evidence</w:t>
      </w:r>
      <w:r>
        <w:t xml:space="preserve"> </w:t>
      </w:r>
      <w:r>
        <w:rPr>
          <w:i/>
          <w:iCs/>
        </w:rPr>
        <w:t xml:space="preserve">about</w:t>
      </w:r>
      <w:r>
        <w:t xml:space="preserve"> </w:t>
      </w:r>
      <w:r>
        <w:t xml:space="preserve">it.</w:t>
      </w:r>
    </w:p>
    <w:p>
      <w:pPr>
        <w:pStyle w:val="BodyText"/>
      </w:pPr>
      <w:r>
        <w:t xml:space="preserve">Eleven countries carry at least five records in each of the three interventions together with at least ten country-specific primary studies — enough to say something about all three:</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Country</w:t>
            </w:r>
          </w:p>
        </w:tc>
        <w:tc>
          <w:tcPr/>
          <w:p>
            <w:pPr>
              <w:pStyle w:val="Compact"/>
              <w:jc w:val="right"/>
            </w:pPr>
            <w:r>
              <w:t xml:space="preserve">CMAM</w:t>
            </w:r>
          </w:p>
        </w:tc>
        <w:tc>
          <w:tcPr/>
          <w:p>
            <w:pPr>
              <w:pStyle w:val="Compact"/>
              <w:jc w:val="right"/>
            </w:pPr>
            <w:r>
              <w:t xml:space="preserve">Breastfeeding</w:t>
            </w:r>
          </w:p>
        </w:tc>
        <w:tc>
          <w:tcPr/>
          <w:p>
            <w:pPr>
              <w:pStyle w:val="Compact"/>
              <w:jc w:val="right"/>
            </w:pPr>
            <w:r>
              <w:t xml:space="preserve">MMS</w:t>
            </w:r>
          </w:p>
        </w:tc>
        <w:tc>
          <w:tcPr/>
          <w:p>
            <w:pPr>
              <w:pStyle w:val="Compact"/>
              <w:jc w:val="right"/>
            </w:pPr>
            <w:r>
              <w:t xml:space="preserve">Country-specific records</w:t>
            </w:r>
          </w:p>
        </w:tc>
        <w:tc>
          <w:tcPr/>
          <w:p>
            <w:pPr>
              <w:pStyle w:val="Compact"/>
              <w:jc w:val="right"/>
            </w:pPr>
            <w:r>
              <w:t xml:space="preserve">Primary studies</w:t>
            </w:r>
          </w:p>
        </w:tc>
      </w:tr>
      <w:tr>
        <w:tc>
          <w:tcPr/>
          <w:p>
            <w:pPr>
              <w:pStyle w:val="Compact"/>
            </w:pPr>
            <w:r>
              <w:t xml:space="preserve">Ethiopia</w:t>
            </w:r>
          </w:p>
        </w:tc>
        <w:tc>
          <w:tcPr/>
          <w:p>
            <w:pPr>
              <w:pStyle w:val="Compact"/>
              <w:jc w:val="right"/>
            </w:pPr>
            <w:r>
              <w:t xml:space="preserve">65</w:t>
            </w:r>
          </w:p>
        </w:tc>
        <w:tc>
          <w:tcPr/>
          <w:p>
            <w:pPr>
              <w:pStyle w:val="Compact"/>
              <w:jc w:val="right"/>
            </w:pPr>
            <w:r>
              <w:t xml:space="preserve">36</w:t>
            </w:r>
          </w:p>
        </w:tc>
        <w:tc>
          <w:tcPr/>
          <w:p>
            <w:pPr>
              <w:pStyle w:val="Compact"/>
              <w:jc w:val="right"/>
            </w:pPr>
            <w:r>
              <w:t xml:space="preserve">43</w:t>
            </w:r>
          </w:p>
        </w:tc>
        <w:tc>
          <w:tcPr/>
          <w:p>
            <w:pPr>
              <w:pStyle w:val="Compact"/>
              <w:jc w:val="right"/>
            </w:pPr>
            <w:r>
              <w:t xml:space="preserve">94</w:t>
            </w:r>
          </w:p>
        </w:tc>
        <w:tc>
          <w:tcPr/>
          <w:p>
            <w:pPr>
              <w:pStyle w:val="Compact"/>
              <w:jc w:val="right"/>
            </w:pPr>
            <w:r>
              <w:t xml:space="preserve">90</w:t>
            </w:r>
          </w:p>
        </w:tc>
      </w:tr>
      <w:tr>
        <w:tc>
          <w:tcPr/>
          <w:p>
            <w:pPr>
              <w:pStyle w:val="Compact"/>
            </w:pPr>
            <w:r>
              <w:t xml:space="preserve">India</w:t>
            </w:r>
          </w:p>
        </w:tc>
        <w:tc>
          <w:tcPr/>
          <w:p>
            <w:pPr>
              <w:pStyle w:val="Compact"/>
              <w:jc w:val="right"/>
            </w:pPr>
            <w:r>
              <w:t xml:space="preserve">37</w:t>
            </w:r>
          </w:p>
        </w:tc>
        <w:tc>
          <w:tcPr/>
          <w:p>
            <w:pPr>
              <w:pStyle w:val="Compact"/>
              <w:jc w:val="right"/>
            </w:pPr>
            <w:r>
              <w:t xml:space="preserve">34</w:t>
            </w:r>
          </w:p>
        </w:tc>
        <w:tc>
          <w:tcPr/>
          <w:p>
            <w:pPr>
              <w:pStyle w:val="Compact"/>
              <w:jc w:val="right"/>
            </w:pPr>
            <w:r>
              <w:t xml:space="preserve">46</w:t>
            </w:r>
          </w:p>
        </w:tc>
        <w:tc>
          <w:tcPr/>
          <w:p>
            <w:pPr>
              <w:pStyle w:val="Compact"/>
              <w:jc w:val="right"/>
            </w:pPr>
            <w:r>
              <w:t xml:space="preserve">53</w:t>
            </w:r>
          </w:p>
        </w:tc>
        <w:tc>
          <w:tcPr/>
          <w:p>
            <w:pPr>
              <w:pStyle w:val="Compact"/>
              <w:jc w:val="right"/>
            </w:pPr>
            <w:r>
              <w:t xml:space="preserve">51</w:t>
            </w:r>
          </w:p>
        </w:tc>
      </w:tr>
      <w:tr>
        <w:tc>
          <w:tcPr/>
          <w:p>
            <w:pPr>
              <w:pStyle w:val="Compact"/>
            </w:pPr>
            <w:r>
              <w:t xml:space="preserve">Bangladesh</w:t>
            </w:r>
          </w:p>
        </w:tc>
        <w:tc>
          <w:tcPr/>
          <w:p>
            <w:pPr>
              <w:pStyle w:val="Compact"/>
              <w:jc w:val="right"/>
            </w:pPr>
            <w:r>
              <w:t xml:space="preserve">32</w:t>
            </w:r>
          </w:p>
        </w:tc>
        <w:tc>
          <w:tcPr/>
          <w:p>
            <w:pPr>
              <w:pStyle w:val="Compact"/>
              <w:jc w:val="right"/>
            </w:pPr>
            <w:r>
              <w:t xml:space="preserve">27</w:t>
            </w:r>
          </w:p>
        </w:tc>
        <w:tc>
          <w:tcPr/>
          <w:p>
            <w:pPr>
              <w:pStyle w:val="Compact"/>
              <w:jc w:val="right"/>
            </w:pPr>
            <w:r>
              <w:t xml:space="preserve">47</w:t>
            </w:r>
          </w:p>
        </w:tc>
        <w:tc>
          <w:tcPr/>
          <w:p>
            <w:pPr>
              <w:pStyle w:val="Compact"/>
              <w:jc w:val="right"/>
            </w:pPr>
            <w:r>
              <w:t xml:space="preserve">32</w:t>
            </w:r>
          </w:p>
        </w:tc>
        <w:tc>
          <w:tcPr/>
          <w:p>
            <w:pPr>
              <w:pStyle w:val="Compact"/>
              <w:jc w:val="right"/>
            </w:pPr>
            <w:r>
              <w:t xml:space="preserve">33</w:t>
            </w:r>
          </w:p>
        </w:tc>
      </w:tr>
      <w:tr>
        <w:tc>
          <w:tcPr/>
          <w:p>
            <w:pPr>
              <w:pStyle w:val="Compact"/>
            </w:pPr>
            <w:r>
              <w:t xml:space="preserve">Nepal</w:t>
            </w:r>
          </w:p>
        </w:tc>
        <w:tc>
          <w:tcPr/>
          <w:p>
            <w:pPr>
              <w:pStyle w:val="Compact"/>
              <w:jc w:val="right"/>
            </w:pPr>
            <w:r>
              <w:t xml:space="preserve">13</w:t>
            </w:r>
          </w:p>
        </w:tc>
        <w:tc>
          <w:tcPr/>
          <w:p>
            <w:pPr>
              <w:pStyle w:val="Compact"/>
              <w:jc w:val="right"/>
            </w:pPr>
            <w:r>
              <w:t xml:space="preserve">14</w:t>
            </w:r>
          </w:p>
        </w:tc>
        <w:tc>
          <w:tcPr/>
          <w:p>
            <w:pPr>
              <w:pStyle w:val="Compact"/>
              <w:jc w:val="right"/>
            </w:pPr>
            <w:r>
              <w:t xml:space="preserve">41</w:t>
            </w:r>
          </w:p>
        </w:tc>
        <w:tc>
          <w:tcPr/>
          <w:p>
            <w:pPr>
              <w:pStyle w:val="Compact"/>
              <w:jc w:val="right"/>
            </w:pPr>
            <w:r>
              <w:t xml:space="preserve">23</w:t>
            </w:r>
          </w:p>
        </w:tc>
        <w:tc>
          <w:tcPr/>
          <w:p>
            <w:pPr>
              <w:pStyle w:val="Compact"/>
              <w:jc w:val="right"/>
            </w:pPr>
            <w:r>
              <w:t xml:space="preserve">27</w:t>
            </w:r>
          </w:p>
        </w:tc>
      </w:tr>
      <w:tr>
        <w:tc>
          <w:tcPr/>
          <w:p>
            <w:pPr>
              <w:pStyle w:val="Compact"/>
            </w:pPr>
            <w:r>
              <w:t xml:space="preserve">Pakistan</w:t>
            </w:r>
          </w:p>
        </w:tc>
        <w:tc>
          <w:tcPr/>
          <w:p>
            <w:pPr>
              <w:pStyle w:val="Compact"/>
              <w:jc w:val="right"/>
            </w:pPr>
            <w:r>
              <w:t xml:space="preserve">19</w:t>
            </w:r>
          </w:p>
        </w:tc>
        <w:tc>
          <w:tcPr/>
          <w:p>
            <w:pPr>
              <w:pStyle w:val="Compact"/>
              <w:jc w:val="right"/>
            </w:pPr>
            <w:r>
              <w:t xml:space="preserve">22</w:t>
            </w:r>
          </w:p>
        </w:tc>
        <w:tc>
          <w:tcPr/>
          <w:p>
            <w:pPr>
              <w:pStyle w:val="Compact"/>
              <w:jc w:val="right"/>
            </w:pPr>
            <w:r>
              <w:t xml:space="preserve">30</w:t>
            </w:r>
          </w:p>
        </w:tc>
        <w:tc>
          <w:tcPr/>
          <w:p>
            <w:pPr>
              <w:pStyle w:val="Compact"/>
              <w:jc w:val="right"/>
            </w:pPr>
            <w:r>
              <w:t xml:space="preserve">17</w:t>
            </w:r>
          </w:p>
        </w:tc>
        <w:tc>
          <w:tcPr/>
          <w:p>
            <w:pPr>
              <w:pStyle w:val="Compact"/>
              <w:jc w:val="right"/>
            </w:pPr>
            <w:r>
              <w:t xml:space="preserve">29</w:t>
            </w:r>
          </w:p>
        </w:tc>
      </w:tr>
      <w:tr>
        <w:tc>
          <w:tcPr/>
          <w:p>
            <w:pPr>
              <w:pStyle w:val="Compact"/>
            </w:pPr>
            <w:r>
              <w:t xml:space="preserve">Kenya</w:t>
            </w:r>
          </w:p>
        </w:tc>
        <w:tc>
          <w:tcPr/>
          <w:p>
            <w:pPr>
              <w:pStyle w:val="Compact"/>
              <w:jc w:val="right"/>
            </w:pPr>
            <w:r>
              <w:t xml:space="preserve">35</w:t>
            </w:r>
          </w:p>
        </w:tc>
        <w:tc>
          <w:tcPr/>
          <w:p>
            <w:pPr>
              <w:pStyle w:val="Compact"/>
              <w:jc w:val="right"/>
            </w:pPr>
            <w:r>
              <w:t xml:space="preserve">26</w:t>
            </w:r>
          </w:p>
        </w:tc>
        <w:tc>
          <w:tcPr/>
          <w:p>
            <w:pPr>
              <w:pStyle w:val="Compact"/>
              <w:jc w:val="right"/>
            </w:pPr>
            <w:r>
              <w:t xml:space="preserve">17</w:t>
            </w:r>
          </w:p>
        </w:tc>
        <w:tc>
          <w:tcPr/>
          <w:p>
            <w:pPr>
              <w:pStyle w:val="Compact"/>
              <w:jc w:val="right"/>
            </w:pPr>
            <w:r>
              <w:t xml:space="preserve">25</w:t>
            </w:r>
          </w:p>
        </w:tc>
        <w:tc>
          <w:tcPr/>
          <w:p>
            <w:pPr>
              <w:pStyle w:val="Compact"/>
              <w:jc w:val="right"/>
            </w:pPr>
            <w:r>
              <w:t xml:space="preserve">34</w:t>
            </w:r>
          </w:p>
        </w:tc>
      </w:tr>
      <w:tr>
        <w:tc>
          <w:tcPr/>
          <w:p>
            <w:pPr>
              <w:pStyle w:val="Compact"/>
            </w:pPr>
            <w:r>
              <w:t xml:space="preserve">Ghana</w:t>
            </w:r>
          </w:p>
        </w:tc>
        <w:tc>
          <w:tcPr/>
          <w:p>
            <w:pPr>
              <w:pStyle w:val="Compact"/>
              <w:jc w:val="right"/>
            </w:pPr>
            <w:r>
              <w:t xml:space="preserve">19</w:t>
            </w:r>
          </w:p>
        </w:tc>
        <w:tc>
          <w:tcPr/>
          <w:p>
            <w:pPr>
              <w:pStyle w:val="Compact"/>
              <w:jc w:val="right"/>
            </w:pPr>
            <w:r>
              <w:t xml:space="preserve">29</w:t>
            </w:r>
          </w:p>
        </w:tc>
        <w:tc>
          <w:tcPr/>
          <w:p>
            <w:pPr>
              <w:pStyle w:val="Compact"/>
              <w:jc w:val="right"/>
            </w:pPr>
            <w:r>
              <w:t xml:space="preserve">19</w:t>
            </w:r>
          </w:p>
        </w:tc>
        <w:tc>
          <w:tcPr/>
          <w:p>
            <w:pPr>
              <w:pStyle w:val="Compact"/>
              <w:jc w:val="right"/>
            </w:pPr>
            <w:r>
              <w:t xml:space="preserve">17</w:t>
            </w:r>
          </w:p>
        </w:tc>
        <w:tc>
          <w:tcPr/>
          <w:p>
            <w:pPr>
              <w:pStyle w:val="Compact"/>
              <w:jc w:val="right"/>
            </w:pPr>
            <w:r>
              <w:t xml:space="preserve">23</w:t>
            </w:r>
          </w:p>
        </w:tc>
      </w:tr>
      <w:tr>
        <w:tc>
          <w:tcPr/>
          <w:p>
            <w:pPr>
              <w:pStyle w:val="Compact"/>
            </w:pPr>
            <w:r>
              <w:t xml:space="preserve">Malawi</w:t>
            </w:r>
          </w:p>
        </w:tc>
        <w:tc>
          <w:tcPr/>
          <w:p>
            <w:pPr>
              <w:pStyle w:val="Compact"/>
              <w:jc w:val="right"/>
            </w:pPr>
            <w:r>
              <w:t xml:space="preserve">47</w:t>
            </w:r>
          </w:p>
        </w:tc>
        <w:tc>
          <w:tcPr/>
          <w:p>
            <w:pPr>
              <w:pStyle w:val="Compact"/>
              <w:jc w:val="right"/>
            </w:pPr>
            <w:r>
              <w:t xml:space="preserve">18</w:t>
            </w:r>
          </w:p>
        </w:tc>
        <w:tc>
          <w:tcPr/>
          <w:p>
            <w:pPr>
              <w:pStyle w:val="Compact"/>
              <w:jc w:val="right"/>
            </w:pPr>
            <w:r>
              <w:t xml:space="preserve">17</w:t>
            </w:r>
          </w:p>
        </w:tc>
        <w:tc>
          <w:tcPr/>
          <w:p>
            <w:pPr>
              <w:pStyle w:val="Compact"/>
              <w:jc w:val="right"/>
            </w:pPr>
            <w:r>
              <w:t xml:space="preserve">21</w:t>
            </w:r>
          </w:p>
        </w:tc>
        <w:tc>
          <w:tcPr/>
          <w:p>
            <w:pPr>
              <w:pStyle w:val="Compact"/>
              <w:jc w:val="right"/>
            </w:pPr>
            <w:r>
              <w:t xml:space="preserve">31</w:t>
            </w:r>
          </w:p>
        </w:tc>
      </w:tr>
      <w:tr>
        <w:tc>
          <w:tcPr/>
          <w:p>
            <w:pPr>
              <w:pStyle w:val="Compact"/>
            </w:pPr>
            <w:r>
              <w:t xml:space="preserve">Niger</w:t>
            </w:r>
          </w:p>
        </w:tc>
        <w:tc>
          <w:tcPr/>
          <w:p>
            <w:pPr>
              <w:pStyle w:val="Compact"/>
              <w:jc w:val="right"/>
            </w:pPr>
            <w:r>
              <w:t xml:space="preserve">26</w:t>
            </w:r>
          </w:p>
        </w:tc>
        <w:tc>
          <w:tcPr/>
          <w:p>
            <w:pPr>
              <w:pStyle w:val="Compact"/>
              <w:jc w:val="right"/>
            </w:pPr>
            <w:r>
              <w:t xml:space="preserve">5</w:t>
            </w:r>
          </w:p>
        </w:tc>
        <w:tc>
          <w:tcPr/>
          <w:p>
            <w:pPr>
              <w:pStyle w:val="Compact"/>
              <w:jc w:val="right"/>
            </w:pPr>
            <w:r>
              <w:t xml:space="preserve">8</w:t>
            </w:r>
          </w:p>
        </w:tc>
        <w:tc>
          <w:tcPr/>
          <w:p>
            <w:pPr>
              <w:pStyle w:val="Compact"/>
              <w:jc w:val="right"/>
            </w:pPr>
            <w:r>
              <w:t xml:space="preserve">12</w:t>
            </w:r>
          </w:p>
        </w:tc>
        <w:tc>
          <w:tcPr/>
          <w:p>
            <w:pPr>
              <w:pStyle w:val="Compact"/>
              <w:jc w:val="right"/>
            </w:pPr>
            <w:r>
              <w:t xml:space="preserve">15</w:t>
            </w:r>
          </w:p>
        </w:tc>
      </w:tr>
      <w:tr>
        <w:tc>
          <w:tcPr/>
          <w:p>
            <w:pPr>
              <w:pStyle w:val="Compact"/>
            </w:pPr>
            <w:r>
              <w:t xml:space="preserve">Indonesia</w:t>
            </w:r>
          </w:p>
        </w:tc>
        <w:tc>
          <w:tcPr/>
          <w:p>
            <w:pPr>
              <w:pStyle w:val="Compact"/>
              <w:jc w:val="right"/>
            </w:pPr>
            <w:r>
              <w:t xml:space="preserve">7</w:t>
            </w:r>
          </w:p>
        </w:tc>
        <w:tc>
          <w:tcPr/>
          <w:p>
            <w:pPr>
              <w:pStyle w:val="Compact"/>
              <w:jc w:val="right"/>
            </w:pPr>
            <w:r>
              <w:t xml:space="preserve">15</w:t>
            </w:r>
          </w:p>
        </w:tc>
        <w:tc>
          <w:tcPr/>
          <w:p>
            <w:pPr>
              <w:pStyle w:val="Compact"/>
              <w:jc w:val="right"/>
            </w:pPr>
            <w:r>
              <w:t xml:space="preserve">24</w:t>
            </w:r>
          </w:p>
        </w:tc>
        <w:tc>
          <w:tcPr/>
          <w:p>
            <w:pPr>
              <w:pStyle w:val="Compact"/>
              <w:jc w:val="right"/>
            </w:pPr>
            <w:r>
              <w:t xml:space="preserve">12</w:t>
            </w:r>
          </w:p>
        </w:tc>
        <w:tc>
          <w:tcPr/>
          <w:p>
            <w:pPr>
              <w:pStyle w:val="Compact"/>
              <w:jc w:val="right"/>
            </w:pPr>
            <w:r>
              <w:t xml:space="preserve">12</w:t>
            </w:r>
          </w:p>
        </w:tc>
      </w:tr>
      <w:tr>
        <w:tc>
          <w:tcPr/>
          <w:p>
            <w:pPr>
              <w:pStyle w:val="Compact"/>
            </w:pPr>
            <w:r>
              <w:t xml:space="preserve">Nigeria</w:t>
            </w:r>
          </w:p>
        </w:tc>
        <w:tc>
          <w:tcPr/>
          <w:p>
            <w:pPr>
              <w:pStyle w:val="Compact"/>
              <w:jc w:val="right"/>
            </w:pPr>
            <w:r>
              <w:t xml:space="preserve">19</w:t>
            </w:r>
          </w:p>
        </w:tc>
        <w:tc>
          <w:tcPr/>
          <w:p>
            <w:pPr>
              <w:pStyle w:val="Compact"/>
              <w:jc w:val="right"/>
            </w:pPr>
            <w:r>
              <w:t xml:space="preserve">27</w:t>
            </w:r>
          </w:p>
        </w:tc>
        <w:tc>
          <w:tcPr/>
          <w:p>
            <w:pPr>
              <w:pStyle w:val="Compact"/>
              <w:jc w:val="right"/>
            </w:pPr>
            <w:r>
              <w:t xml:space="preserve">12</w:t>
            </w:r>
          </w:p>
        </w:tc>
        <w:tc>
          <w:tcPr/>
          <w:p>
            <w:pPr>
              <w:pStyle w:val="Compact"/>
              <w:jc w:val="right"/>
            </w:pPr>
            <w:r>
              <w:t xml:space="preserve">14</w:t>
            </w:r>
          </w:p>
        </w:tc>
        <w:tc>
          <w:tcPr/>
          <w:p>
            <w:pPr>
              <w:pStyle w:val="Compact"/>
              <w:jc w:val="right"/>
            </w:pPr>
            <w:r>
              <w:t xml:space="preserve">19</w:t>
            </w:r>
          </w:p>
        </w:tc>
      </w:tr>
    </w:tbl>
    <w:p>
      <w:pPr>
        <w:pStyle w:val="BodyText"/>
      </w:pPr>
      <w:r>
        <w:rPr>
          <w:i/>
          <w:iCs/>
        </w:rPr>
        <w:t xml:space="preserve">Full counts for all 18 countries meeting the threshold are in Appendix D. 166 countries appear in the corpus overall.</w:t>
      </w:r>
    </w:p>
    <w:p>
      <w:pPr>
        <w:pStyle w:val="BodyText"/>
      </w:pPr>
      <w:r>
        <w:rPr>
          <w:b/>
          <w:bCs/>
        </w:rPr>
        <w:t xml:space="preserve">Read these as research attention, not suitability.</w:t>
      </w:r>
      <w:r>
        <w:t xml:space="preserve"> </w:t>
      </w:r>
      <w:r>
        <w:t xml:space="preserve">A country appears high in this table because it has been studied, which reflects donor and academic interest as much as anything about the country itself. Ethiopia has the most evidence partly because it runs an unusual national programme that researchers have documented heavily — the volume is a consequence of the thing worth knowing, not the evidence for it. What matters is in §4.3, not here.</w:t>
      </w:r>
    </w:p>
    <w:bookmarkEnd w:id="41"/>
    <w:bookmarkStart w:id="47" w:name="what-is-known-about-each-country"/>
    <w:p>
      <w:pPr>
        <w:pStyle w:val="Heading2"/>
      </w:pPr>
      <w:r>
        <w:t xml:space="preserve">4.3 What is known about each country</w:t>
      </w:r>
    </w:p>
    <w:bookmarkStart w:id="42" w:name="ethiopia"/>
    <w:p>
      <w:pPr>
        <w:pStyle w:val="Heading3"/>
      </w:pPr>
      <w:r>
        <w:t xml:space="preserve">Ethiopia</w:t>
      </w:r>
    </w:p>
    <w:p>
      <w:pPr>
        <w:pStyle w:val="FirstParagraph"/>
      </w:pPr>
      <w:r>
        <w:t xml:space="preserve">Ethiopia is the only country in the corpus where</w:t>
      </w:r>
      <w:r>
        <w:t xml:space="preserve"> </w:t>
      </w:r>
      <w:r>
        <w:rPr>
          <w:b/>
          <w:bCs/>
        </w:rPr>
        <w:t xml:space="preserve">all three interventions already run through a single government community platform</w:t>
      </w:r>
      <w:r>
        <w:t xml:space="preserve">, and it is the reference case that multi-country reviews cite when describing CHW-delivered treatment at national scale.</w:t>
      </w:r>
    </w:p>
    <w:p>
      <w:pPr>
        <w:pStyle w:val="BodyText"/>
      </w:pPr>
      <w:r>
        <w:t xml:space="preserve">The Health Extension Programme fields roughly 40,000 salaried Health Extension Workers with one year of pre-service training, alongside the Women’s Development Army, a volunteer tier at roughly one volunteer per five to six households (DOI 10.1186/s12961-021-00757-3). Uncomplicated SAM treatment was decentralised to the health-post and Health Extension Worker level in 2008 as a national strategy (DOI 10.1186/s12887-019-1407-9), and CMAM delivery was</w:t>
      </w:r>
      <w:r>
        <w:t xml:space="preserve"> </w:t>
      </w:r>
      <w:r>
        <w:rPr>
          <w:b/>
          <w:bCs/>
        </w:rPr>
        <w:t xml:space="preserve">transitioned into the government system from an NGO-run emergency programme</w:t>
      </w:r>
      <w:r>
        <w:t xml:space="preserve"> </w:t>
      </w:r>
      <w:r>
        <w:t xml:space="preserve">(DOI 10.1093/heapol/czv003) — the transition from donor-funded pilot to government service that a national co-design would need to achieve. On breastfeeding, the government runs both the facility-side Baby-Friendly Hospital Initiative and the community-side Health Extension Package (PMID 30229308), Women’s Development Army leaders have delivered structured IYCF counselling at two prenatal and eight postnatal home visits following five days of training (PMID 30257661), and the Ministry of Health secured Global Financing Facility funding to expand a KMC model nationally (DOI 10.1136/bmjgh-2021-005905). On MMS, a pilot has already integrated supplementation into routine antenatal care through Ministry of Health and Regional Health Bureau structures, delivered by existing antenatal staff and Health Extension Workers chosen specifically because they already handle IFA (PMID 39887615).</w:t>
      </w:r>
    </w:p>
    <w:p>
      <w:pPr>
        <w:pStyle w:val="BodyText"/>
      </w:pPr>
      <w:r>
        <w:t xml:space="preserve">The performance record is the counterweight, and it is substantial. Pooled SAM recovery</w:t>
      </w:r>
      <w:r>
        <w:t xml:space="preserve"> </w:t>
      </w:r>
      <w:r>
        <w:rPr>
          <w:b/>
          <w:bCs/>
        </w:rPr>
        <w:t xml:space="preserve">fell as the national programme matured</w:t>
      </w:r>
      <w:r>
        <w:t xml:space="preserve">, from 72% in studies published before 2015 to 69% after (PMID 32631260). One outpatient programme recorded overall recovery of 61.8% against the Sphere minimum of 75%, with a 13.9% defaulter rate (DOI 10.1371/journal.pone.0065840). Performance varies sharply between regions: one district’s 17.5% defaulter rate sat against regional figures of 8.8% in Tigray, 4% in Amhara, 9% in Oromia and 4.6% in SNNPR (DOI 10.5897/ijnam2015.0193). Distance is a measured constraint — children whose mothers travelled two hours or more had cure rates of 65.6% against 81.0%, with recovery 1.48 times higher for those living closer (AHR 1.48, 95% CI 1.08–2.01, same source). Three months of statutory maternity leave for government employees is documented as a structural barrier to six-month exclusive breastfeeding (PMID 32228718).</w:t>
      </w:r>
    </w:p>
    <w:p>
      <w:pPr>
        <w:pStyle w:val="BodyText"/>
      </w:pPr>
      <w:r>
        <w:rPr>
          <w:b/>
          <w:bCs/>
        </w:rPr>
        <w:t xml:space="preserve">Reading:</w:t>
      </w:r>
      <w:r>
        <w:t xml:space="preserve"> </w:t>
      </w:r>
      <w:r>
        <w:t xml:space="preserve">the strongest platform evidence in the corpus and the clearest documented quality problem. The constraint is not whether government delivery is possible but whether quality holds at scale — which is a fair description of the problem CARE is trying to solve.</w:t>
      </w:r>
    </w:p>
    <w:bookmarkEnd w:id="42"/>
    <w:bookmarkStart w:id="43" w:name="india"/>
    <w:p>
      <w:pPr>
        <w:pStyle w:val="Heading3"/>
      </w:pPr>
      <w:r>
        <w:t xml:space="preserve">India</w:t>
      </w:r>
    </w:p>
    <w:p>
      <w:pPr>
        <w:pStyle w:val="FirstParagraph"/>
      </w:pPr>
      <w:r>
        <w:t xml:space="preserve">India has the densest</w:t>
      </w:r>
      <w:r>
        <w:t xml:space="preserve"> </w:t>
      </w:r>
      <w:r>
        <w:rPr>
          <w:b/>
          <w:bCs/>
        </w:rPr>
        <w:t xml:space="preserve">formal platform architecture</w:t>
      </w:r>
      <w:r>
        <w:t xml:space="preserve"> </w:t>
      </w:r>
      <w:r>
        <w:t xml:space="preserve">and the most explicit national policy vehicles, with correspondingly well-documented coordination failures.</w:t>
      </w:r>
    </w:p>
    <w:p>
      <w:pPr>
        <w:pStyle w:val="BodyText"/>
      </w:pPr>
      <w:r>
        <w:t xml:space="preserve">The ASHA programme has operated at national scale since 2005 under the National Rural Health Mission, and the ASHA kit includes iron-folic-acid tablets (DOI 10.1186/s12960-015-0094-3). The Village Health and Nutrition Day is identified as the key platform that brings all three frontline cadres — Anganwadi Worker, ANM and ASHA — into one integrated delivery event (DOI 10.1186/s12889-017-4088-z). Two national missions, POSHAN Abhiyaan and Anaemia-Free India, were running concurrently and produced secular improvement in both arms of one antenatal trial, with frontline-worker access to materials reaching roughly 95% in intervention areas against 50% in standard care (DOI 10.1093/jn/nxab131). Implementation research is actively under way to develop district-level delivery models intended to inform national scale-up of Anemia Mukt Bharat 2.0 (PMID 42313808). On CMAM, Rajasthan’s POSHAN programme is described as the only Indian CMAM programme implemented at large scale — 13 districts, led directly by the state government (DOI 10.18203/2320-6012.ijrms20184920), and a domiciliary SAM study explicitly mapped each research role onto a government cadre equivalent to enable handover (DOI 10.1136/bmjgh-2017-000702).</w:t>
      </w:r>
    </w:p>
    <w:p>
      <w:pPr>
        <w:pStyle w:val="BodyText"/>
      </w:pPr>
      <w:r>
        <w:t xml:space="preserve">The documented failures are institutional rather than technical. Block-level cooperation between ICDS and health staff is described as</w:t>
      </w:r>
      <w:r>
        <w:t xml:space="preserve"> </w:t>
      </w:r>
      <w:r>
        <w:rPr>
          <w:b/>
          <w:bCs/>
        </w:rPr>
        <w:t xml:space="preserve">the weakest link in the system</w:t>
      </w:r>
      <w:r>
        <w:t xml:space="preserve">, hindered by absent intersectoral coordination guidelines, workload, and separately-convened sector meetings (DOI 10.1186/s12889-017-4088-z). Performance-based incentives — around Rs.600 per referred institutional delivery — skew ASHA effort toward incentivised tasks and away from counselling and home visits, with irregular payment damaging community trust (DOI 10.1186/s12960-015-0094-3). Six of eight facilities in one assessment had insufficient IFA stock (PMID 42051413); one community programme recorded 56% cured against the 75% Sphere standard (DOI 10.1371/journal.pone.0205688); and fortified rice kernels distributed through ICDS were discarded because recipients perceived them as plastic (PMID 41487673). National guidance recommending IFA for all women of reproductive age was found not to have translated into frontline practice, with non-pregnant women effectively excluded from distribution despite 2013 guidelines (DOI 10.1186/s12889-020-08574-z).</w:t>
      </w:r>
    </w:p>
    <w:p>
      <w:pPr>
        <w:pStyle w:val="BodyText"/>
      </w:pPr>
      <w:r>
        <w:rPr>
          <w:b/>
          <w:bCs/>
        </w:rPr>
        <w:t xml:space="preserve">Reading:</w:t>
      </w:r>
      <w:r>
        <w:t xml:space="preserve"> </w:t>
      </w:r>
      <w:r>
        <w:t xml:space="preserve">the most developed institutional scaffolding of any candidate, with the binding constraints sitting in inter-sectoral coordination and frontline-worker incentives rather than in platform existence.</w:t>
      </w:r>
    </w:p>
    <w:bookmarkEnd w:id="43"/>
    <w:bookmarkStart w:id="44" w:name="bangladesh"/>
    <w:p>
      <w:pPr>
        <w:pStyle w:val="Heading3"/>
      </w:pPr>
      <w:r>
        <w:t xml:space="preserve">Bangladesh</w:t>
      </w:r>
    </w:p>
    <w:p>
      <w:pPr>
        <w:pStyle w:val="FirstParagraph"/>
      </w:pPr>
      <w:r>
        <w:t xml:space="preserve">Bangladesh has a strong MMS and breastfeeding research base (47 and 27 records) but the</w:t>
      </w:r>
      <w:r>
        <w:t xml:space="preserve"> </w:t>
      </w:r>
      <w:r>
        <w:rPr>
          <w:b/>
          <w:bCs/>
        </w:rPr>
        <w:t xml:space="preserve">weakest documented CMAM platform readiness</w:t>
      </w:r>
      <w:r>
        <w:t xml:space="preserve"> </w:t>
      </w:r>
      <w:r>
        <w:t xml:space="preserve">of the countries with substantial evidence.</w:t>
      </w:r>
    </w:p>
    <w:p>
      <w:pPr>
        <w:pStyle w:val="BodyText"/>
      </w:pPr>
      <w:r>
        <w:t xml:space="preserve">The infrastructure exists on paper: 13,136 community clinics and roughly 46,000 sanctioned government community-health-worker posts, though with substantial vacancies, and only 3.3% of the National Nutrition Services budget allocated to management of acute malnutrition (DOI 10.1186/s12913-018-3087-9). The same assessment found</w:t>
      </w:r>
      <w:r>
        <w:t xml:space="preserve"> </w:t>
      </w:r>
      <w:r>
        <w:rPr>
          <w:b/>
          <w:bCs/>
        </w:rPr>
        <w:t xml:space="preserve">ready-to-use therapeutic food unavailable in every facility visited</w:t>
      </w:r>
      <w:r>
        <w:t xml:space="preserve">, therapeutic milk stock-outs every three to four months, and stakeholder resistance to importing or locally producing RUTF described as the most fundamental constraint to CMAM scale-up. Screening and treatment of acute malnutrition was not yet part of routine facility or outreach activity, and meeting staffing ratios for outpatient MAM management alone was estimated to require 466 additional staff, with 74% of CMAM funding donor-provided on three-year cycles (PMID 24649941).</w:t>
      </w:r>
    </w:p>
    <w:p>
      <w:pPr>
        <w:pStyle w:val="BodyText"/>
      </w:pPr>
      <w:r>
        <w:t xml:space="preserve">The country does offer the corpus’s clearest quantification of where supplementation coverage is lost: the largest drop-off, 61 percentage points, occurs not at antenatal attendance or at receiving IFA but between receiving any IFA and consuming the recommended 180 tablets (DOI 10.3390/nu14153114). Sustainability evidence is mixed — a two-year follow-up of an intensive community IYCF programme found breastfeeding gains held where the intervention had reached, but exposure declined after donor funding ended and there was no scale-up beyond intervention areas (PMID 39568606).</w:t>
      </w:r>
    </w:p>
    <w:p>
      <w:pPr>
        <w:pStyle w:val="BodyText"/>
      </w:pPr>
      <w:r>
        <w:rPr>
          <w:b/>
          <w:bCs/>
        </w:rPr>
        <w:t xml:space="preserve">Reading:</w:t>
      </w:r>
      <w:r>
        <w:t xml:space="preserve"> </w:t>
      </w:r>
      <w:r>
        <w:t xml:space="preserve">strong commodity and behavioural evidence, but a treatment platform that would need to be built rather than leveraged, and a documented pattern of donor-dependent rather than government-absorbed delivery.</w:t>
      </w:r>
    </w:p>
    <w:bookmarkEnd w:id="44"/>
    <w:bookmarkStart w:id="45" w:name="nepal"/>
    <w:p>
      <w:pPr>
        <w:pStyle w:val="Heading3"/>
      </w:pPr>
      <w:r>
        <w:t xml:space="preserve">Nepal</w:t>
      </w:r>
    </w:p>
    <w:p>
      <w:pPr>
        <w:pStyle w:val="FirstParagraph"/>
      </w:pPr>
      <w:r>
        <w:t xml:space="preserve">Nepal carries the corpus’s</w:t>
      </w:r>
      <w:r>
        <w:t xml:space="preserve"> </w:t>
      </w:r>
      <w:r>
        <w:rPr>
          <w:b/>
          <w:bCs/>
        </w:rPr>
        <w:t xml:space="preserve">single best-documented national coverage turnaround</w:t>
      </w:r>
      <w:r>
        <w:t xml:space="preserve">.</w:t>
      </w:r>
    </w:p>
    <w:p>
      <w:pPr>
        <w:pStyle w:val="BodyText"/>
      </w:pPr>
      <w:r>
        <w:t xml:space="preserve">The Female Community Health Volunteer network — over 50,000 volunteers, established in 1988, each covering a ward of 80 to 100 households — was used to deliver the Iron Intensification Programme, which scaled from five priority districts in 2003 to all 75 districts by 2014. Over that period national IFA coverage rose from 23% in 2001 to 91% in 2016 for any consumption, and from 6% to 71% for consumption of 90 or more tablets, closely tracking antenatal coverage as it rose from 49% to 94% and narrowing the gap between antenatal and IFA coverage from 26 to 3 percentage points (DOI 10.1111/mcn.13173). The authors of that review explicitly propose that</w:t>
      </w:r>
      <w:r>
        <w:t xml:space="preserve"> </w:t>
      </w:r>
      <w:r>
        <w:rPr>
          <w:b/>
          <w:bCs/>
        </w:rPr>
        <w:t xml:space="preserve">this same platform could carry the switch from IFA to MMS</w:t>
      </w:r>
      <w:r>
        <w:t xml:space="preserve"> </w:t>
      </w:r>
      <w:r>
        <w:t xml:space="preserve">— the most direct evidenced pathway to the transition in the entire corpus. A separate comparison found Pakistan’s coverage static at around 45% over a decade while Nepal’s rose from 23% to 80%, and attributed the difference to Nepal’s use of community volunteers (DOI 10.1371/journal.pone.0112446). Nepal is also one of the few settings where exclusive breastfeeding was measurably higher in community-based than facility-based studies, 57.8% against 30.1% (PMID 37269619).</w:t>
      </w:r>
    </w:p>
    <w:p>
      <w:pPr>
        <w:pStyle w:val="BodyText"/>
      </w:pPr>
      <w:r>
        <w:t xml:space="preserve">The limits are real. Only 42% of women in one province took the recommended 180 tablets, with side effects and beliefs about larger babies as the cited reasons (PMID 34241951); a nationwide shortage left IFA out of stock in 14 of 24 assessed facilities (DOI 10.1186/s12913-019-4871-x); FCHVs are documented as overburdened and their unpaid status contested; and coverage gaps persist by wealth, education and region. The CMAM evidence base is thin (13 records).</w:t>
      </w:r>
    </w:p>
    <w:p>
      <w:pPr>
        <w:pStyle w:val="BodyText"/>
      </w:pPr>
      <w:r>
        <w:rPr>
          <w:b/>
          <w:bCs/>
        </w:rPr>
        <w:t xml:space="preserve">Reading:</w:t>
      </w:r>
      <w:r>
        <w:t xml:space="preserve"> </w:t>
      </w:r>
      <w:r>
        <w:t xml:space="preserve">disproportionately strong on the MMS transition question specifically, and the clearest existing proof that a community platform can move national coverage. Weak on CMAM.</w:t>
      </w:r>
    </w:p>
    <w:bookmarkEnd w:id="45"/>
    <w:bookmarkStart w:id="46" w:name="pakistan"/>
    <w:p>
      <w:pPr>
        <w:pStyle w:val="Heading3"/>
      </w:pPr>
      <w:r>
        <w:t xml:space="preserve">Pakistan</w:t>
      </w:r>
    </w:p>
    <w:p>
      <w:pPr>
        <w:pStyle w:val="FirstParagraph"/>
      </w:pPr>
      <w:r>
        <w:t xml:space="preserve">Pakistan presents a</w:t>
      </w:r>
      <w:r>
        <w:t xml:space="preserve"> </w:t>
      </w:r>
      <w:r>
        <w:rPr>
          <w:b/>
          <w:bCs/>
        </w:rPr>
        <w:t xml:space="preserve">national commitment already on the table</w:t>
      </w:r>
      <w:r>
        <w:t xml:space="preserve"> </w:t>
      </w:r>
      <w:r>
        <w:t xml:space="preserve">alongside the corpus’s most important counter-signal to the CHW-decentralisation thesis.</w:t>
      </w:r>
    </w:p>
    <w:p>
      <w:pPr>
        <w:pStyle w:val="BodyText"/>
      </w:pPr>
      <w:r>
        <w:t xml:space="preserve">Pakistan has committed to nationwide MMS scale-up, with implementation research under way specifically to inform the transition of antenatal platforms from IFA to MMS, delivered through the same channels previously used for IFA — facility antenatal care and community distribution via Lady Health Workers (PMID 41978151). The Lady Health Worker programme covers roughly 60% of the population and is described as the primary trusted channel for counselling and supply (DOI 10.1186/1471-2393-14-344).</w:t>
      </w:r>
    </w:p>
    <w:p>
      <w:pPr>
        <w:pStyle w:val="BodyText"/>
      </w:pPr>
      <w:r>
        <w:t xml:space="preserve">The counter-signal deserves emphasis because it cuts against this review’s central implementation finding. In a Pakistani trial, CMAM delivered by Lady Health Workers achieved</w:t>
      </w:r>
      <w:r>
        <w:t xml:space="preserve"> </w:t>
      </w:r>
      <w:r>
        <w:rPr>
          <w:b/>
          <w:bCs/>
        </w:rPr>
        <w:t xml:space="preserve">lower</w:t>
      </w:r>
      <w:r>
        <w:t xml:space="preserve"> </w:t>
      </w:r>
      <w:r>
        <w:t xml:space="preserve">recovery than facility-based care — 76.0% against 82.95% — with higher defaulting (3.8% against 2.5%) and higher non-response (20.0% against 14.0%), even though bringing care closer reduced household opportunity costs (DOI 10.1186/s12889-018-6382-9). Decentralisation to community workers raises coverage in most of the corpus, but it does not guarantee equal treatment quality, and Pakistan is where that shows most clearly.</w:t>
      </w:r>
    </w:p>
    <w:p>
      <w:pPr>
        <w:pStyle w:val="BodyText"/>
      </w:pPr>
      <w:r>
        <w:t xml:space="preserve">Platform constraints are well documented: Lady Health Worker posts were 650 of 900 filled in one district, covering about 44% of the population (PMID 35807795); supply is quota-based rather than demand-based and subject to frequent stock-outs (DOI 10.1186/1471-2393-14-344); coverage excludes nomadic and migrant populations through a six-month residency rule; and devolution of health under the 18th Amendment is described as having reduced consistent financing and prioritisation for nutrition budgets (PMID 39935308).</w:t>
      </w:r>
    </w:p>
    <w:p>
      <w:pPr>
        <w:pStyle w:val="BodyText"/>
      </w:pPr>
      <w:r>
        <w:rPr>
          <w:b/>
          <w:bCs/>
        </w:rPr>
        <w:t xml:space="preserve">Reading:</w:t>
      </w:r>
      <w:r>
        <w:t xml:space="preserve"> </w:t>
      </w:r>
      <w:r>
        <w:t xml:space="preserve">an open policy window on MMS specifically, against a platform with documented coverage, staffing and financing constraints — and a quality caution that applies to any CHW-decentralisation design.</w:t>
      </w:r>
    </w:p>
    <w:bookmarkEnd w:id="46"/>
    <w:bookmarkEnd w:id="47"/>
    <w:bookmarkStart w:id="48" w:name="X3ea8aea4e6ae3d165aa077b204624020fed23ab"/>
    <w:p>
      <w:pPr>
        <w:pStyle w:val="Heading2"/>
      </w:pPr>
      <w:r>
        <w:t xml:space="preserve">4.4 Three things the evidence volume does not show</w:t>
      </w:r>
    </w:p>
    <w:p>
      <w:pPr>
        <w:pStyle w:val="FirstParagraph"/>
      </w:pPr>
      <w:r>
        <w:t xml:space="preserve">Three observations that follow from reading the evidence rather than from the scores:</w:t>
      </w:r>
    </w:p>
    <w:p>
      <w:pPr>
        <w:pStyle w:val="BodyText"/>
      </w:pPr>
      <w:r>
        <w:rPr>
          <w:b/>
          <w:bCs/>
        </w:rPr>
        <w:t xml:space="preserve">Nepal matters more than its overall evidence volume suggests.</w:t>
      </w:r>
      <w:r>
        <w:t xml:space="preserve"> </w:t>
      </w:r>
      <w:r>
        <w:t xml:space="preserve">Its CMAM evidence base is thin, so a broad reading passes over it — but on the specific question of transitioning a national supplementation programme from IFA to MMS through a community platform, it has both the strongest track record in the corpus and an explicit recommendation in the literature to do exactly that. If the co-design were scoped to MMS alone, Nepal would be the obvious place to look.</w:t>
      </w:r>
    </w:p>
    <w:p>
      <w:pPr>
        <w:pStyle w:val="BodyText"/>
      </w:pPr>
      <w:r>
        <w:rPr>
          <w:b/>
          <w:bCs/>
        </w:rPr>
        <w:t xml:space="preserve">The best-documented country is not the best-performing one.</w:t>
      </w:r>
      <w:r>
        <w:t xml:space="preserve"> </w:t>
      </w:r>
      <w:r>
        <w:t xml:space="preserve">Ethiopia has the most evidence partly because its programmes have been studied most closely — including their failures. Recovery falling from 72% to 69% as the programme scaled is the single most policy-relevant finding in the country analysis, and it applies to any country planning to scale.</w:t>
      </w:r>
    </w:p>
    <w:p>
      <w:pPr>
        <w:pStyle w:val="BodyText"/>
      </w:pPr>
      <w:r>
        <w:rPr>
          <w:b/>
          <w:bCs/>
        </w:rPr>
        <w:t xml:space="preserve">The corpus’s central implementation claim has a documented exception.</w:t>
      </w:r>
      <w:r>
        <w:t xml:space="preserve"> </w:t>
      </w:r>
      <w:r>
        <w:t xml:space="preserve">Community decentralisation raised coverage substantially in Mali, Tanzania, Mauritania and Niger, but in Pakistan it produced lower recovery than facility care. Any design that shifts delivery to community workers should carry an explicit quality-assurance and supervision component rather than assuming the coverage gain is free.</w:t>
      </w:r>
    </w:p>
    <w:bookmarkEnd w:id="48"/>
    <w:bookmarkStart w:id="49" w:name="what-would-settle-the-choice"/>
    <w:p>
      <w:pPr>
        <w:pStyle w:val="Heading2"/>
      </w:pPr>
      <w:r>
        <w:t xml:space="preserve">4.5 What would settle the choice</w:t>
      </w:r>
    </w:p>
    <w:p>
      <w:pPr>
        <w:pStyle w:val="FirstParagraph"/>
      </w:pPr>
      <w:r>
        <w:t xml:space="preserve">The evidence narrows the field from 166 tagged countries to roughly a dozen with enough depth to support a co-design across all three interventions. Converting that into a single country requires facts this review does not hold. In rough order of decisiveness:</w:t>
      </w:r>
    </w:p>
    <w:p>
      <w:pPr>
        <w:pStyle w:val="Compact"/>
        <w:numPr>
          <w:ilvl w:val="0"/>
          <w:numId w:val="1006"/>
        </w:numPr>
      </w:pPr>
      <w:r>
        <w:rPr>
          <w:b/>
          <w:bCs/>
        </w:rPr>
        <w:t xml:space="preserve">Government appetite and the current policy window.</w:t>
      </w:r>
      <w:r>
        <w:t xml:space="preserve"> </w:t>
      </w:r>
      <w:r>
        <w:t xml:space="preserve">Pakistan’s committed national MMS scale-up and India’s active Anemia Mukt Bharat 2.0 implementation research are both live openings visible in the corpus; Ethiopia’s Global Financing Facility award for KMC is another. Which ministries are actually ready to co-design now is a relationship question, not an evidence question.</w:t>
      </w:r>
    </w:p>
    <w:p>
      <w:pPr>
        <w:pStyle w:val="Compact"/>
        <w:numPr>
          <w:ilvl w:val="0"/>
          <w:numId w:val="1006"/>
        </w:numPr>
      </w:pPr>
      <w:r>
        <w:rPr>
          <w:b/>
          <w:bCs/>
        </w:rPr>
        <w:t xml:space="preserve">CARE and IA operational footprint.</w:t>
      </w:r>
      <w:r>
        <w:t xml:space="preserve"> </w:t>
      </w:r>
      <w:r>
        <w:t xml:space="preserve">Where do CARE, Save the Children and Mercy Corps already hold government relationships, staff and delivery history? Mercy Corps flagged high experience in breastfeeding and complementary feeding, moderate in CMAM, and limited in MMS — that maps onto country choice.</w:t>
      </w:r>
    </w:p>
    <w:p>
      <w:pPr>
        <w:pStyle w:val="Compact"/>
        <w:numPr>
          <w:ilvl w:val="0"/>
          <w:numId w:val="1006"/>
        </w:numPr>
      </w:pPr>
      <w:r>
        <w:rPr>
          <w:b/>
          <w:bCs/>
        </w:rPr>
        <w:t xml:space="preserve">Fragility, security and access.</w:t>
      </w:r>
      <w:r>
        <w:t xml:space="preserve"> </w:t>
      </w:r>
      <w:r>
        <w:t xml:space="preserve">Not assessed here at all. It bears directly on Ethiopia and Pakistan in particular.</w:t>
      </w:r>
    </w:p>
    <w:p>
      <w:pPr>
        <w:pStyle w:val="Compact"/>
        <w:numPr>
          <w:ilvl w:val="0"/>
          <w:numId w:val="1006"/>
        </w:numPr>
      </w:pPr>
      <w:r>
        <w:rPr>
          <w:b/>
          <w:bCs/>
        </w:rPr>
        <w:t xml:space="preserve">Financing landscape.</w:t>
      </w:r>
      <w:r>
        <w:t xml:space="preserve"> </w:t>
      </w:r>
      <w:r>
        <w:t xml:space="preserve">Bangladesh’s 74% donor-funded, three-year CMAM cycles and Pakistan’s post-devolution financing instability are corpus-visible symptoms; the current donor position is not.</w:t>
      </w:r>
    </w:p>
    <w:p>
      <w:pPr>
        <w:pStyle w:val="Compact"/>
        <w:numPr>
          <w:ilvl w:val="0"/>
          <w:numId w:val="1006"/>
        </w:numPr>
      </w:pPr>
      <w:r>
        <w:rPr>
          <w:b/>
          <w:bCs/>
        </w:rPr>
        <w:t xml:space="preserve">Cost and cost-effectiveness.</w:t>
      </w:r>
      <w:r>
        <w:t xml:space="preserve"> </w:t>
      </w:r>
      <w:r>
        <w:t xml:space="preserve">Deferred to Phase 2 by design. Commodity-heavy interventions (RUTF, MMS) will be more sensitive to this than counselling-based ones.</w:t>
      </w:r>
    </w:p>
    <w:p>
      <w:pPr>
        <w:pStyle w:val="FirstParagraph"/>
      </w:pPr>
      <w:r>
        <w:t xml:space="preserve">A practical way to close this: pick three or four countries from the table in §4.2 where CARE and IA partners already have a footprint, and assess those against factors 1 to 4 with partner input. The evidence base can describe any of them; it cannot choose between them.</w:t>
      </w:r>
    </w:p>
    <w:bookmarkEnd w:id="49"/>
    <w:bookmarkEnd w:id="50"/>
    <w:bookmarkStart w:id="62" w:name="Xad718522ac17c1791a3ddeddc15ca75f508d186"/>
    <w:p>
      <w:pPr>
        <w:pStyle w:val="Heading1"/>
      </w:pPr>
      <w:r>
        <w:t xml:space="preserve">5. Community-based Management of Acute Malnutrition (CMAM)</w:t>
      </w:r>
    </w:p>
    <w:p>
      <w:pPr>
        <w:pStyle w:val="BlockText"/>
      </w:pPr>
      <w:r>
        <w:rPr>
          <w:b/>
          <w:bCs/>
        </w:rPr>
        <w:t xml:space="preserve">Scaling position:</w:t>
      </w:r>
      <w:r>
        <w:t xml:space="preserve"> </w:t>
      </w:r>
      <w:r>
        <w:t xml:space="preserve">health-system treatment</w:t>
      </w:r>
      <w:r>
        <w:t xml:space="preserve"> </w:t>
      </w:r>
      <w:r>
        <w:rPr>
          <w:b/>
          <w:bCs/>
        </w:rPr>
        <w:t xml:space="preserve">Evidence base:</w:t>
      </w:r>
      <w:r>
        <w:t xml:space="preserve"> </w:t>
      </w:r>
      <w:r>
        <w:t xml:space="preserve">243 on-topic records — 13 meta-analyses, 14 systematic reviews, 32 randomised controlled trials (RCTs), 48 program evaluations. The largest program-evaluation base of the three interventions, and the smallest synthesis tier.</w:t>
      </w:r>
      <w:r>
        <w:t xml:space="preserve"> </w:t>
      </w:r>
      <w:r>
        <w:rPr>
          <w:b/>
          <w:bCs/>
        </w:rPr>
        <w:t xml:space="preserve">What the evidence establishes:</w:t>
      </w:r>
      <w:r>
        <w:t xml:space="preserve"> </w:t>
      </w:r>
      <w:r>
        <w:t xml:space="preserve">that treating acute malnutrition at home works, and how to deliver it. Almost all comparisons are one treatment against another, never against no treatment, so the size of the benefit over doing nothing has not been measured and cannot be.</w:t>
      </w:r>
      <w:r>
        <w:t xml:space="preserve"> </w:t>
      </w:r>
      <w:r>
        <w:rPr>
          <w:b/>
          <w:bCs/>
        </w:rPr>
        <w:t xml:space="preserve">What programmes actually achieve:</w:t>
      </w:r>
      <w:r>
        <w:t xml:space="preserve"> </w:t>
      </w:r>
      <w:r>
        <w:t xml:space="preserve">recovery of about 71% of children treated, below the 75% humanitarian minimum, with coverage under 40% of cases. Recovery declined in Ethiopia as the programme scaled.</w:t>
      </w:r>
      <w:r>
        <w:t xml:space="preserve"> </w:t>
      </w:r>
      <w:r>
        <w:rPr>
          <w:b/>
          <w:bCs/>
        </w:rPr>
        <w:t xml:space="preserve">Where it is thin:</w:t>
      </w:r>
      <w:r>
        <w:t xml:space="preserve"> </w:t>
      </w:r>
      <w:r>
        <w:t xml:space="preserve">treatment quality at scale, post-discharge support, and supply chain.</w:t>
      </w:r>
    </w:p>
    <w:bookmarkStart w:id="51" w:name="what-it-is"/>
    <w:p>
      <w:pPr>
        <w:pStyle w:val="Heading2"/>
      </w:pPr>
      <w:r>
        <w:t xml:space="preserve">5.1 What it is</w:t>
      </w:r>
    </w:p>
    <w:p>
      <w:pPr>
        <w:pStyle w:val="FirstParagraph"/>
      </w:pPr>
      <w:r>
        <w:t xml:space="preserve">Community-based Management of Acute Malnutrition (CMAM) treats children who are already acutely malnourished, at home rather than in hospital.</w:t>
      </w:r>
    </w:p>
    <w:p>
      <w:pPr>
        <w:pStyle w:val="BodyText"/>
      </w:pPr>
      <w:r>
        <w:t xml:space="preserve">A health worker screens by</w:t>
      </w:r>
      <w:r>
        <w:t xml:space="preserve"> </w:t>
      </w:r>
      <w:r>
        <w:rPr>
          <w:b/>
          <w:bCs/>
        </w:rPr>
        <w:t xml:space="preserve">mid-upper-arm circumference (MUAC)</w:t>
      </w:r>
      <w:r>
        <w:t xml:space="preserve"> </w:t>
      </w:r>
      <w:r>
        <w:t xml:space="preserve">— a colour-coded tape around the upper arm. Children with uncomplicated</w:t>
      </w:r>
      <w:r>
        <w:t xml:space="preserve"> </w:t>
      </w:r>
      <w:r>
        <w:rPr>
          <w:b/>
          <w:bCs/>
        </w:rPr>
        <w:t xml:space="preserve">severe acute malnutrition (SAM)</w:t>
      </w:r>
      <w:r>
        <w:t xml:space="preserve">, the immediately life-threatening form, are treated as outpatients with</w:t>
      </w:r>
      <w:r>
        <w:t xml:space="preserve"> </w:t>
      </w:r>
      <w:r>
        <w:rPr>
          <w:b/>
          <w:bCs/>
        </w:rPr>
        <w:t xml:space="preserve">ready-to-use therapeutic food (RUTF)</w:t>
      </w:r>
      <w:r>
        <w:t xml:space="preserve">, a fortified peanut paste whose energy density of about 23 kJ/g and formulation limit bacterial growth, so it needs no water, refrigeration or preparation — properties that are precisely what make home treatment possible (DOI 10.4172/2157-7110.1000434).</w:t>
      </w:r>
      <w:r>
        <w:t xml:space="preserve"> </w:t>
      </w:r>
      <w:r>
        <w:rPr>
          <w:b/>
          <w:bCs/>
        </w:rPr>
        <w:t xml:space="preserve">Moderate acute malnutrition (MAM)</w:t>
      </w:r>
      <w:r>
        <w:t xml:space="preserve"> </w:t>
      </w:r>
      <w:r>
        <w:t xml:space="preserve">is treated with supplementary foods —</w:t>
      </w:r>
      <w:r>
        <w:t xml:space="preserve"> </w:t>
      </w:r>
      <w:r>
        <w:rPr>
          <w:b/>
          <w:bCs/>
        </w:rPr>
        <w:t xml:space="preserve">ready-to-use supplementary food (RUSF)</w:t>
      </w:r>
      <w:r>
        <w:t xml:space="preserve"> </w:t>
      </w:r>
      <w:r>
        <w:t xml:space="preserve">or</w:t>
      </w:r>
      <w:r>
        <w:t xml:space="preserve"> </w:t>
      </w:r>
      <w:r>
        <w:rPr>
          <w:b/>
          <w:bCs/>
        </w:rPr>
        <w:t xml:space="preserve">lipid-based nutrient supplements (LNS)</w:t>
      </w:r>
      <w:r>
        <w:t xml:space="preserve">. Complicated cases are stabilised as inpatients on F75 and F100 therapeutic milks.</w:t>
      </w:r>
    </w:p>
    <w:p>
      <w:pPr>
        <w:pStyle w:val="BodyText"/>
      </w:pPr>
      <w:r>
        <w:t xml:space="preserve">The mechanism that matters for scaling is not nutritional but organisational: community screening plus decentralised distribution converts a hospital-bound problem into a primary-care one. Simplified and combined protocols then cut the commodity load while holding recovery.</w:t>
      </w:r>
    </w:p>
    <w:bookmarkEnd w:id="51"/>
    <w:bookmarkStart w:id="52" w:name="the-most-effective-levers"/>
    <w:p>
      <w:pPr>
        <w:pStyle w:val="Heading2"/>
      </w:pPr>
      <w:r>
        <w:t xml:space="preserve">5.2 The most effective levers</w:t>
      </w:r>
    </w:p>
    <w:p>
      <w:pPr>
        <w:pStyle w:val="FirstParagraph"/>
      </w:pPr>
      <w:r>
        <w:rPr>
          <w:i/>
          <w:iCs/>
        </w:rPr>
        <w:t xml:space="preserve">Ranking criterion: consistency and replication of effect across independent evaluations, weighted toward outcomes that a programme can actually move. Effect sizes on different outcomes are not directly comparable, so this ranks levers by strength of evidence for changing programme performance, not by raw effect magnitude.</w:t>
      </w:r>
    </w:p>
    <w:p>
      <w:pPr>
        <w:pStyle w:val="BodyText"/>
      </w:pPr>
      <w:r>
        <w:rPr>
          <w:b/>
          <w:bCs/>
        </w:rPr>
        <w:t xml:space="preserve">1. Decentralising treatment to community health workers (CHWs).</w:t>
      </w:r>
      <w:r>
        <w:t xml:space="preserve"> </w:t>
      </w:r>
      <w:r>
        <w:t xml:space="preserve">The best-replicated finding in this chapter and in the review as a whole — large coverage gains across four independent country evaluations, though not in every district studied (§5.5). This is the single highest-value change available to a CMAM programme.</w:t>
      </w:r>
    </w:p>
    <w:p>
      <w:pPr>
        <w:pStyle w:val="BodyText"/>
      </w:pPr>
      <w:r>
        <w:rPr>
          <w:b/>
          <w:bCs/>
        </w:rPr>
        <w:t xml:space="preserve">2. Simplified and combined protocols.</w:t>
      </w:r>
      <w:r>
        <w:t xml:space="preserve"> </w:t>
      </w:r>
      <w:r>
        <w:t xml:space="preserve">Two randomised trials and a large implementation study show that merging SAM and MAM treatment into one protocol, and tapering RUTF dosing, hold recovery while cutting commodity load by roughly 46% (§5.6). Because RUTF supply is the dominant institutional barrier (§5.9), this is the most actionable finding in the chapter.</w:t>
      </w:r>
    </w:p>
    <w:p>
      <w:pPr>
        <w:pStyle w:val="BodyText"/>
      </w:pPr>
      <w:r>
        <w:rPr>
          <w:b/>
          <w:bCs/>
        </w:rPr>
        <w:t xml:space="preserve">3. Pairing treatment with an unconditional cash transfer.</w:t>
      </w:r>
      <w:r>
        <w:t xml:space="preserve"> </w:t>
      </w:r>
      <w:r>
        <w:t xml:space="preserve">One strong cluster-randomised trial in the Democratic Republic of the Congo improved recovery (hazard ratio, HR 1.35), cut relapse to moderate malnutrition by nearly 80% (HR 0.21) and reduced defaulting from 6.0% to 1.4% (DOI 10.1186/s12916-017-0848-y). Less replicated than the first two, but the effect sizes are large and it addresses the demand side, which the other two do not.</w:t>
      </w:r>
    </w:p>
    <w:p>
      <w:pPr>
        <w:pStyle w:val="BodyText"/>
      </w:pPr>
      <w:r>
        <w:rPr>
          <w:b/>
          <w:bCs/>
        </w:rPr>
        <w:t xml:space="preserve">A note on what is</w:t>
      </w:r>
      <w:r>
        <w:rPr>
          <w:b/>
          <w:bCs/>
        </w:rPr>
        <w:t xml:space="preserve"> </w:t>
      </w:r>
      <w:r>
        <w:rPr>
          <w:b/>
          <w:bCs/>
          <w:i/>
          <w:iCs/>
        </w:rPr>
        <w:t xml:space="preserve">not</w:t>
      </w:r>
      <w:r>
        <w:rPr>
          <w:b/>
          <w:bCs/>
        </w:rPr>
        <w:t xml:space="preserve"> </w:t>
      </w:r>
      <w:r>
        <w:rPr>
          <w:b/>
          <w:bCs/>
        </w:rPr>
        <w:t xml:space="preserve">in this list.</w:t>
      </w:r>
      <w:r>
        <w:t xml:space="preserve"> </w:t>
      </w:r>
      <w:r>
        <w:t xml:space="preserve">The strongest purely</w:t>
      </w:r>
      <w:r>
        <w:t xml:space="preserve"> </w:t>
      </w:r>
      <w:r>
        <w:rPr>
          <w:i/>
          <w:iCs/>
        </w:rPr>
        <w:t xml:space="preserve">clinical</w:t>
      </w:r>
      <w:r>
        <w:t xml:space="preserve"> </w:t>
      </w:r>
      <w:r>
        <w:t xml:space="preserve">result in the CMAM corpus is prophylactic antibiotics added to RUTF, which cut all-cause mortality by 26% (§5.3). It is excluded from the levers above because it is a drug adjunct rather than a delivery or programme-design choice — but if the objective is mortality reduction specifically, it belongs in the conversation.</w:t>
      </w:r>
    </w:p>
    <w:bookmarkEnd w:id="52"/>
    <w:bookmarkStart w:id="53" w:name="does-it-work"/>
    <w:p>
      <w:pPr>
        <w:pStyle w:val="Heading2"/>
      </w:pPr>
      <w:r>
        <w:t xml:space="preserve">5.3 Does it work?</w:t>
      </w:r>
    </w:p>
    <w:p>
      <w:pPr>
        <w:pStyle w:val="FirstParagraph"/>
      </w:pPr>
      <w:r>
        <w:t xml:space="preserve">Yes, with an important qualification about what</w:t>
      </w:r>
      <w:r>
        <w:t xml:space="preserve"> </w:t>
      </w:r>
      <w:r>
        <w:t xml:space="preserve">“work”</w:t>
      </w:r>
      <w:r>
        <w:t xml:space="preserve"> </w:t>
      </w:r>
      <w:r>
        <w:t xml:space="preserve">is measured against. In the tables below,</w:t>
      </w:r>
      <w:r>
        <w:t xml:space="preserve"> </w:t>
      </w:r>
      <w:r>
        <w:rPr>
          <w:b/>
          <w:bCs/>
        </w:rPr>
        <w:t xml:space="preserve">RR</w:t>
      </w:r>
      <w:r>
        <w:t xml:space="preserve"> </w:t>
      </w:r>
      <w:r>
        <w:t xml:space="preserve">is a risk ratio,</w:t>
      </w:r>
      <w:r>
        <w:t xml:space="preserve"> </w:t>
      </w:r>
      <w:r>
        <w:rPr>
          <w:b/>
          <w:bCs/>
        </w:rPr>
        <w:t xml:space="preserve">RD</w:t>
      </w:r>
      <w:r>
        <w:t xml:space="preserve"> </w:t>
      </w:r>
      <w:r>
        <w:t xml:space="preserve">a risk difference,</w:t>
      </w:r>
      <w:r>
        <w:t xml:space="preserve"> </w:t>
      </w:r>
      <w:r>
        <w:rPr>
          <w:b/>
          <w:bCs/>
        </w:rPr>
        <w:t xml:space="preserve">SMD</w:t>
      </w:r>
      <w:r>
        <w:t xml:space="preserve"> </w:t>
      </w:r>
      <w:r>
        <w:t xml:space="preserve">a standardised mean difference, and figures in brackets are 95% confidence intervals.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Comparison</w:t>
            </w:r>
          </w:p>
        </w:tc>
        <w:tc>
          <w:tcPr/>
          <w:p>
            <w:pPr>
              <w:pStyle w:val="Compact"/>
            </w:pPr>
            <w:r>
              <w:t xml:space="preserve">Outcome</w:t>
            </w:r>
          </w:p>
        </w:tc>
        <w:tc>
          <w:tcPr/>
          <w:p>
            <w:pPr>
              <w:pStyle w:val="Compact"/>
            </w:pPr>
            <w:r>
              <w:t xml:space="preserve">Effect</w:t>
            </w:r>
          </w:p>
        </w:tc>
        <w:tc>
          <w:tcPr/>
          <w:p>
            <w:pPr>
              <w:pStyle w:val="Compact"/>
            </w:pPr>
            <w:r>
              <w:t xml:space="preserve">Evidence</w:t>
            </w:r>
          </w:p>
        </w:tc>
      </w:tr>
      <w:tr>
        <w:tc>
          <w:tcPr/>
          <w:p>
            <w:pPr>
              <w:pStyle w:val="Compact"/>
            </w:pPr>
            <w:r>
              <w:t xml:space="preserve">RUTF / community treatment vs standard therapy</w:t>
            </w:r>
          </w:p>
        </w:tc>
        <w:tc>
          <w:tcPr/>
          <w:p>
            <w:pPr>
              <w:pStyle w:val="Compact"/>
            </w:pPr>
            <w:r>
              <w:t xml:space="preserve">Nutritional recovery</w:t>
            </w:r>
          </w:p>
        </w:tc>
        <w:tc>
          <w:tcPr/>
          <w:p>
            <w:pPr>
              <w:pStyle w:val="Compact"/>
            </w:pPr>
            <w:r>
              <w:rPr>
                <w:b/>
                <w:bCs/>
              </w:rPr>
              <w:t xml:space="preserve">RR 1.51 (1.04–2.2)</w:t>
            </w:r>
            <w:r>
              <w:t xml:space="preserve">, 3 studies; no significant mortality difference</w:t>
            </w:r>
          </w:p>
        </w:tc>
        <w:tc>
          <w:tcPr/>
          <w:p>
            <w:pPr>
              <w:pStyle w:val="Compact"/>
            </w:pPr>
            <w:r>
              <w:t xml:space="preserve">PMID 24564235</w:t>
            </w:r>
          </w:p>
        </w:tc>
      </w:tr>
      <w:tr>
        <w:tc>
          <w:tcPr/>
          <w:p>
            <w:pPr>
              <w:pStyle w:val="Compact"/>
            </w:pPr>
            <w:r>
              <w:t xml:space="preserve">LNS vs fortified blended food (MAM)</w:t>
            </w:r>
          </w:p>
        </w:tc>
        <w:tc>
          <w:tcPr/>
          <w:p>
            <w:pPr>
              <w:pStyle w:val="Compact"/>
            </w:pPr>
            <w:r>
              <w:t xml:space="preserve">Recovery</w:t>
            </w:r>
          </w:p>
        </w:tc>
        <w:tc>
          <w:tcPr/>
          <w:p>
            <w:pPr>
              <w:pStyle w:val="Compact"/>
            </w:pPr>
            <w:r>
              <w:t xml:space="preserve">RR 1.08 (1.02–1.14), 8 studies, N=8,934</w:t>
            </w:r>
          </w:p>
        </w:tc>
        <w:tc>
          <w:tcPr/>
          <w:p>
            <w:pPr>
              <w:pStyle w:val="Compact"/>
            </w:pPr>
            <w:r>
              <w:t xml:space="preserve">PMID 28934235</w:t>
            </w:r>
          </w:p>
        </w:tc>
      </w:tr>
      <w:tr>
        <w:tc>
          <w:tcPr/>
          <w:p>
            <w:pPr>
              <w:pStyle w:val="Compact"/>
            </w:pPr>
            <w:r>
              <w:t xml:space="preserve">LNS vs fortified blended food (MAM)</w:t>
            </w:r>
          </w:p>
        </w:tc>
        <w:tc>
          <w:tcPr/>
          <w:p>
            <w:pPr>
              <w:pStyle w:val="Compact"/>
            </w:pPr>
            <w:r>
              <w:t xml:space="preserve">Failure to recover</w:t>
            </w:r>
          </w:p>
        </w:tc>
        <w:tc>
          <w:tcPr/>
          <w:p>
            <w:pPr>
              <w:pStyle w:val="Compact"/>
            </w:pPr>
            <w:r>
              <w:t xml:space="preserve">RR 0.70 (0.58–0.85)</w:t>
            </w:r>
          </w:p>
        </w:tc>
        <w:tc>
          <w:tcPr/>
          <w:p>
            <w:pPr>
              <w:pStyle w:val="Compact"/>
            </w:pPr>
            <w:r>
              <w:t xml:space="preserve">PMID 28934235</w:t>
            </w:r>
          </w:p>
        </w:tc>
      </w:tr>
      <w:tr>
        <w:tc>
          <w:tcPr/>
          <w:p>
            <w:pPr>
              <w:pStyle w:val="Compact"/>
            </w:pPr>
            <w:r>
              <w:t xml:space="preserve">RUSF vs corn-soy blend</w:t>
            </w:r>
          </w:p>
        </w:tc>
        <w:tc>
          <w:tcPr/>
          <w:p>
            <w:pPr>
              <w:pStyle w:val="Compact"/>
            </w:pPr>
            <w:r>
              <w:t xml:space="preserve">Recovery</w:t>
            </w:r>
          </w:p>
        </w:tc>
        <w:tc>
          <w:tcPr/>
          <w:p>
            <w:pPr>
              <w:pStyle w:val="Compact"/>
            </w:pPr>
            <w:r>
              <w:t xml:space="preserve">RR 1.07 (1.02–1.13), 6 studies</w:t>
            </w:r>
          </w:p>
        </w:tc>
        <w:tc>
          <w:tcPr/>
          <w:p>
            <w:pPr>
              <w:pStyle w:val="Compact"/>
            </w:pPr>
            <w:r>
              <w:t xml:space="preserve">PMID 31906272</w:t>
            </w:r>
          </w:p>
        </w:tc>
      </w:tr>
      <w:tr>
        <w:tc>
          <w:tcPr/>
          <w:p>
            <w:pPr>
              <w:pStyle w:val="Compact"/>
            </w:pPr>
            <w:r>
              <w:t xml:space="preserve">Integrated community-based vs no community strategy</w:t>
            </w:r>
          </w:p>
        </w:tc>
        <w:tc>
          <w:tcPr/>
          <w:p>
            <w:pPr>
              <w:pStyle w:val="Compact"/>
            </w:pPr>
            <w:r>
              <w:t xml:space="preserve">Recovery</w:t>
            </w:r>
          </w:p>
        </w:tc>
        <w:tc>
          <w:tcPr/>
          <w:p>
            <w:pPr>
              <w:pStyle w:val="Compact"/>
            </w:pPr>
            <w:r>
              <w:t xml:space="preserve">RR 1.04 (1.00–1.09), N=1,957 (dominant trial Maust 2015)</w:t>
            </w:r>
          </w:p>
        </w:tc>
        <w:tc>
          <w:tcPr/>
          <w:p>
            <w:pPr>
              <w:pStyle w:val="Compact"/>
            </w:pPr>
            <w:r>
              <w:t xml:space="preserve">PMID 37131422, 31906272</w:t>
            </w:r>
          </w:p>
        </w:tc>
      </w:tr>
      <w:tr>
        <w:tc>
          <w:tcPr/>
          <w:p>
            <w:pPr>
              <w:pStyle w:val="Compact"/>
            </w:pPr>
            <w:r>
              <w:t xml:space="preserve">Integrated community-based vs no community strategy</w:t>
            </w:r>
          </w:p>
        </w:tc>
        <w:tc>
          <w:tcPr/>
          <w:p>
            <w:pPr>
              <w:pStyle w:val="Compact"/>
            </w:pPr>
            <w:r>
              <w:t xml:space="preserve">Mortality</w:t>
            </w:r>
          </w:p>
        </w:tc>
        <w:tc>
          <w:tcPr/>
          <w:p>
            <w:pPr>
              <w:pStyle w:val="Compact"/>
            </w:pPr>
            <w:r>
              <w:t xml:space="preserve">Null — RR 0.93 (0.60–1.45)</w:t>
            </w:r>
          </w:p>
        </w:tc>
        <w:tc>
          <w:tcPr/>
          <w:p>
            <w:pPr>
              <w:pStyle w:val="Compact"/>
            </w:pPr>
            <w:r>
              <w:t xml:space="preserve">PMID 37131422, 31906272</w:t>
            </w:r>
          </w:p>
        </w:tc>
      </w:tr>
      <w:tr>
        <w:tc>
          <w:tcPr/>
          <w:p>
            <w:pPr>
              <w:pStyle w:val="Compact"/>
            </w:pPr>
            <w:r>
              <w:t xml:space="preserve">Prophylactic antibiotics added to RUTF (uncomplicated SAM)</w:t>
            </w:r>
          </w:p>
        </w:tc>
        <w:tc>
          <w:tcPr/>
          <w:p>
            <w:pPr>
              <w:pStyle w:val="Compact"/>
            </w:pPr>
            <w:r>
              <w:t xml:space="preserve">All-cause mortality</w:t>
            </w:r>
          </w:p>
        </w:tc>
        <w:tc>
          <w:tcPr/>
          <w:p>
            <w:pPr>
              <w:pStyle w:val="Compact"/>
            </w:pPr>
            <w:r>
              <w:rPr>
                <w:b/>
                <w:bCs/>
              </w:rPr>
              <w:t xml:space="preserve">RR 0.74 (0.55–0.98)</w:t>
            </w:r>
            <w:r>
              <w:t xml:space="preserve">, 3 studies, N=6,944</w:t>
            </w:r>
          </w:p>
        </w:tc>
        <w:tc>
          <w:tcPr/>
          <w:p>
            <w:pPr>
              <w:pStyle w:val="Compact"/>
            </w:pPr>
            <w:r>
              <w:t xml:space="preserve">PMID 37131422 / 31906272</w:t>
            </w:r>
          </w:p>
        </w:tc>
      </w:tr>
      <w:tr>
        <w:tc>
          <w:tcPr/>
          <w:p>
            <w:pPr>
              <w:pStyle w:val="Compact"/>
            </w:pPr>
            <w:r>
              <w:t xml:space="preserve">Lower-dairy RUTF vs standard</w:t>
            </w:r>
          </w:p>
        </w:tc>
        <w:tc>
          <w:tcPr/>
          <w:p>
            <w:pPr>
              <w:pStyle w:val="Compact"/>
            </w:pPr>
            <w:r>
              <w:t xml:space="preserve">Recovery</w:t>
            </w:r>
          </w:p>
        </w:tc>
        <w:tc>
          <w:tcPr/>
          <w:p>
            <w:pPr>
              <w:pStyle w:val="Compact"/>
            </w:pPr>
            <w:r>
              <w:t xml:space="preserve">RR 0.93 (0.87–1.0); weight gain SMD −0.20 (−0.26 to −0.15)</w:t>
            </w:r>
          </w:p>
        </w:tc>
        <w:tc>
          <w:tcPr/>
          <w:p>
            <w:pPr>
              <w:pStyle w:val="Compact"/>
            </w:pPr>
            <w:r>
              <w:t xml:space="preserve">DOI 10.1093/advances/nmab027</w:t>
            </w:r>
          </w:p>
        </w:tc>
      </w:tr>
    </w:tbl>
    <w:p>
      <w:pPr>
        <w:pStyle w:val="BodyText"/>
      </w:pPr>
      <w:r>
        <w:rPr>
          <w:b/>
          <w:bCs/>
        </w:rPr>
        <w:t xml:space="preserve">The qualification — an active-control ceiling.</w:t>
      </w:r>
      <w:r>
        <w:t xml:space="preserve"> </w:t>
      </w:r>
      <w:r>
        <w:t xml:space="preserve">Almost every comparison is one food or protocol against another, not treatment against no treatment. Community-based programmes expanded rapidly without confirmatory trials against untreated controls, which would now be considered unethical to run (DOI 10.1038/nrdp.2017.67). This structurally understates the real benefit and is the single reason this intervention is rated</w:t>
      </w:r>
      <w:r>
        <w:t xml:space="preserve"> </w:t>
      </w:r>
      <w:r>
        <w:rPr>
          <w:b/>
          <w:bCs/>
        </w:rPr>
        <w:t xml:space="preserve">B rather than A</w:t>
      </w:r>
      <w:r>
        <w:t xml:space="preserve">.</w:t>
      </w:r>
    </w:p>
    <w:p>
      <w:pPr>
        <w:pStyle w:val="BodyText"/>
      </w:pPr>
      <w:r>
        <w:t xml:space="preserve">A second reason reinforces it: CMAM’s evidence base is thinner at the synthesis tier than the other two interventions. Only</w:t>
      </w:r>
      <w:r>
        <w:t xml:space="preserve"> </w:t>
      </w:r>
      <w:r>
        <w:rPr>
          <w:b/>
          <w:bCs/>
        </w:rPr>
        <w:t xml:space="preserve">27 of 243 records (11.1%)</w:t>
      </w:r>
      <w:r>
        <w:t xml:space="preserve"> </w:t>
      </w:r>
      <w:r>
        <w:t xml:space="preserve">are meta-analyses or systematic reviews, against 30.6% for breastfeeding and 23.6% for MMS, while observational studies make up 34.6%. Fewer pooled estimates are available to anchor a clinical rating on. Where reviews report certainty using</w:t>
      </w:r>
      <w:r>
        <w:t xml:space="preserve"> </w:t>
      </w:r>
      <w:r>
        <w:rPr>
          <w:b/>
          <w:bCs/>
        </w:rPr>
        <w:t xml:space="preserve">GRADE</w:t>
      </w:r>
      <w:r>
        <w:t xml:space="preserve"> </w:t>
      </w:r>
      <w:r>
        <w:t xml:space="preserve">(Grading of Recommendations Assessment, Development and Evaluation), it runs low-to-moderate, and the evidence concentrates in sub-Saharan Africa — though the certainty field is unpopulated for most CMAM records, so that last point rests on the minority of reviews that reported it.</w:t>
      </w:r>
    </w:p>
    <w:p>
      <w:pPr>
        <w:pStyle w:val="BodyText"/>
      </w:pPr>
      <w:r>
        <w:rPr>
          <w:b/>
          <w:bCs/>
        </w:rPr>
        <w:t xml:space="preserve">The strongest mortality signal is an adjunct drug, not the food.</w:t>
      </w:r>
      <w:r>
        <w:t xml:space="preserve"> </w:t>
      </w:r>
      <w:r>
        <w:t xml:space="preserve">Prophylactic antibiotics added to RUTF cut all-cause mortality by 26%, driven by a large Malawi trial of amoxicillin and cefdinir (DOI 10.1056/nejmoa1202851). Routine-antibiotic evidence is otherwise mixed (DOI 10.1371/journal.pone.0053184), and in</w:t>
      </w:r>
      <w:r>
        <w:t xml:space="preserve"> </w:t>
      </w:r>
      <w:r>
        <w:rPr>
          <w:i/>
          <w:iCs/>
        </w:rPr>
        <w:t xml:space="preserve">complicated</w:t>
      </w:r>
      <w:r>
        <w:t xml:space="preserve"> </w:t>
      </w:r>
      <w:r>
        <w:t xml:space="preserve">SAM co-trimoxazole was null (HR 0.90, 0.71–1.16; DOI 10.1016/s2214-109x(16)30096-1).</w:t>
      </w:r>
    </w:p>
    <w:p>
      <w:pPr>
        <w:pStyle w:val="BodyText"/>
      </w:pPr>
      <w:r>
        <w:rPr>
          <w:b/>
          <w:bCs/>
        </w:rPr>
        <w:t xml:space="preserve">Formulation matters in one specific way.</w:t>
      </w:r>
      <w:r>
        <w:t xml:space="preserve"> </w:t>
      </w:r>
      <w:r>
        <w:t xml:space="preserve">Head-to-head RUTF comparisons are largely equivalent, with soya-maize-sorghum better for anaemia (RD 12.6, 2.1–23.1; DOI 10.1186/s12889-019-7170-x). The exception is dairy: reducing milk content measurably worsens recovery and weight gain — and milk is the main cost driver, so the obvious cost saving is the one the evidence rules out.</w:t>
      </w:r>
    </w:p>
    <w:p>
      <w:pPr>
        <w:pStyle w:val="BlockText"/>
      </w:pPr>
      <w:r>
        <w:rPr>
          <w:b/>
          <w:bCs/>
        </w:rPr>
        <w:t xml:space="preserve">Do not double-count.</w:t>
      </w:r>
      <w:r>
        <w:t xml:space="preserve"> </w:t>
      </w:r>
      <w:r>
        <w:t xml:space="preserve">PMID 37131422 (</w:t>
      </w:r>
      <w:r>
        <w:rPr>
          <w:i/>
          <w:iCs/>
        </w:rPr>
        <w:t xml:space="preserve">Campbell</w:t>
      </w:r>
      <w:r>
        <w:t xml:space="preserve">) and PMID 31906272 (</w:t>
      </w:r>
      <w:r>
        <w:rPr>
          <w:i/>
          <w:iCs/>
        </w:rPr>
        <w:t xml:space="preserve">Nutrients</w:t>
      </w:r>
      <w:r>
        <w:t xml:space="preserve">), both 2020, report identical estimates across multiple outcomes — antibiotic mortality RR 0.74, recovery RR 1.04, RUSF-vs-CSB RR 1.07. They are one underlying evidence base of 42 studies and 35,017 children, published twice. Count these findings once.</w:t>
      </w:r>
    </w:p>
    <w:bookmarkEnd w:id="53"/>
    <w:bookmarkStart w:id="54" w:name="what-programmes-actually-achieve"/>
    <w:p>
      <w:pPr>
        <w:pStyle w:val="Heading2"/>
      </w:pPr>
      <w:r>
        <w:t xml:space="preserve">5.4 What programmes actually achieve</w:t>
      </w:r>
    </w:p>
    <w:p>
      <w:pPr>
        <w:pStyle w:val="FirstParagraph"/>
      </w:pPr>
      <w:r>
        <w:t xml:space="preserve">This is where the review departs from a standard efficacy synthesis, and it is the section partners should read most closely.</w:t>
      </w:r>
    </w:p>
    <w:p>
      <w:pPr>
        <w:pStyle w:val="BodyText"/>
      </w:pPr>
      <w:r>
        <w:rPr>
          <w:b/>
          <w:bCs/>
        </w:rPr>
        <w:t xml:space="preserve">Recovery falls below the humanitarian minimum and does not improve with scale.</w:t>
      </w:r>
      <w:r>
        <w:t xml:space="preserve"> </w:t>
      </w:r>
      <w:r>
        <w:t xml:space="preserve">Pooled SAM recovery across 54 sub-Saharan studies and 140,148 children was</w:t>
      </w:r>
      <w:r>
        <w:t xml:space="preserve"> </w:t>
      </w:r>
      <w:r>
        <w:rPr>
          <w:b/>
          <w:bCs/>
        </w:rPr>
        <w:t xml:space="preserve">71.2%</w:t>
      </w:r>
      <w:r>
        <w:t xml:space="preserve">, against the Sphere minimum of 75% — with inpatient (70.4%) and outpatient (71.1%) performance essentially identical (PMID 32187182). In Ethiopia, recovery</w:t>
      </w:r>
      <w:r>
        <w:t xml:space="preserve"> </w:t>
      </w:r>
      <w:r>
        <w:rPr>
          <w:b/>
          <w:bCs/>
        </w:rPr>
        <w:t xml:space="preserve">fell as the national programme matured</w:t>
      </w:r>
      <w:r>
        <w:t xml:space="preserve">, from 72% in studies published before 2015 to 69% after (PMID 32631260). Ethiopian</w:t>
      </w:r>
      <w:r>
        <w:t xml:space="preserve"> </w:t>
      </w:r>
      <w:r>
        <w:rPr>
          <w:b/>
          <w:bCs/>
        </w:rPr>
        <w:t xml:space="preserve">outpatient therapeutic programmes (OTPs)</w:t>
      </w:r>
      <w:r>
        <w:t xml:space="preserve"> </w:t>
      </w:r>
      <w:r>
        <w:t xml:space="preserve">recorded recovery around 70% with 10% defaulting and 15% non-recovery (PMID 32631260), and inpatient recovery of 70.5% with 10.3% mortality (DOI 10.1186/s12889-019-7466-x).</w:t>
      </w:r>
    </w:p>
    <w:p>
      <w:pPr>
        <w:pStyle w:val="BodyText"/>
      </w:pPr>
      <w:r>
        <w:rPr>
          <w:b/>
          <w:bCs/>
        </w:rPr>
        <w:t xml:space="preserve">Severe acute malnutrition remains lethal.</w:t>
      </w:r>
      <w:r>
        <w:t xml:space="preserve"> </w:t>
      </w:r>
      <w:r>
        <w:t xml:space="preserve">SAM carries roughly 11% under-five case mortality in Africa (PMID 39885605). Inpatient refeeding-syndrome prevalence ranges 8.7–34.8% depending on definition (PMID 41007088).</w:t>
      </w:r>
    </w:p>
    <w:p>
      <w:pPr>
        <w:pStyle w:val="BodyText"/>
      </w:pPr>
      <w:r>
        <w:rPr>
          <w:b/>
          <w:bCs/>
        </w:rPr>
        <w:t xml:space="preserve">Recovery is not the end of the story — relapse is high.</w:t>
      </w:r>
      <w:r>
        <w:t xml:space="preserve"> </w:t>
      </w:r>
      <w:r>
        <w:t xml:space="preserve">A prospective cohort following children after discharge in Mali, South Sudan and Somalia found</w:t>
      </w:r>
      <w:r>
        <w:t xml:space="preserve"> </w:t>
      </w:r>
      <w:r>
        <w:rPr>
          <w:b/>
          <w:bCs/>
        </w:rPr>
        <w:t xml:space="preserve">22–63% relapsed to acute malnutrition within six months</w:t>
      </w:r>
      <w:r>
        <w:t xml:space="preserve">, at 2–6 times the risk of children who had never been malnourished (pooled RR 3.3, 2.8–4.0; Mali RR 3.5, South Sudan RR 6.2, Somalia RR 1.2). Higher anthropometry at discharge was protective, but few other individual or household factors predicted relapse — leading the authors to conclude that the treatment model alone is insufficient without post-discharge support (DOI 10.1016/s2214-109x(24)00415-7). Loss to follow-up compounds it, ranging 0–45%, with HIV-positive relapse at 14.3% against 2.0% (DOI 10.1371/journal.pone.0202053).</w:t>
      </w:r>
    </w:p>
    <w:p>
      <w:pPr>
        <w:pStyle w:val="BodyText"/>
      </w:pPr>
      <w:r>
        <w:t xml:space="preserve">This matters for a scaling decision in a specific way:</w:t>
      </w:r>
      <w:r>
        <w:t xml:space="preserve"> </w:t>
      </w:r>
      <w:r>
        <w:rPr>
          <w:b/>
          <w:bCs/>
        </w:rPr>
        <w:t xml:space="preserve">a child counted as</w:t>
      </w:r>
      <w:r>
        <w:rPr>
          <w:b/>
          <w:bCs/>
        </w:rPr>
        <w:t xml:space="preserve"> </w:t>
      </w:r>
      <w:r>
        <w:rPr>
          <w:b/>
          <w:bCs/>
        </w:rPr>
        <w:t xml:space="preserve">“recovered”</w:t>
      </w:r>
      <w:r>
        <w:rPr>
          <w:b/>
          <w:bCs/>
        </w:rPr>
        <w:t xml:space="preserve"> </w:t>
      </w:r>
      <w:r>
        <w:rPr>
          <w:b/>
          <w:bCs/>
        </w:rPr>
        <w:t xml:space="preserve">has a meaningful chance of returning to acute malnutrition within months.</w:t>
      </w:r>
      <w:r>
        <w:t xml:space="preserve"> </w:t>
      </w:r>
      <w:r>
        <w:t xml:space="preserve">Any programme measured only on recovery at discharge will overstate its durable effect, and the corpus points to post-discharge support as an under-built component rather than an optional extra.</w:t>
      </w:r>
    </w:p>
    <w:p>
      <w:pPr>
        <w:pStyle w:val="BodyText"/>
      </w:pPr>
      <w:r>
        <w:rPr>
          <w:b/>
          <w:bCs/>
        </w:rPr>
        <w:t xml:space="preserve">Coverage is low — but</w:t>
      </w:r>
      <w:r>
        <w:rPr>
          <w:b/>
          <w:bCs/>
        </w:rPr>
        <w:t xml:space="preserve"> </w:t>
      </w:r>
      <w:r>
        <w:rPr>
          <w:b/>
          <w:bCs/>
        </w:rPr>
        <w:t xml:space="preserve">“coverage”</w:t>
      </w:r>
      <w:r>
        <w:rPr>
          <w:b/>
          <w:bCs/>
        </w:rPr>
        <w:t xml:space="preserve"> </w:t>
      </w:r>
      <w:r>
        <w:rPr>
          <w:b/>
          <w:bCs/>
        </w:rPr>
        <w:t xml:space="preserve">is two different problems.</w:t>
      </w:r>
      <w:r>
        <w:t xml:space="preserve"> </w:t>
      </w:r>
      <w:r>
        <w:t xml:space="preserve">Across</w:t>
      </w:r>
      <w:r>
        <w:t xml:space="preserve"> </w:t>
      </w:r>
      <w:r>
        <w:rPr>
          <w:b/>
          <w:bCs/>
        </w:rPr>
        <w:t xml:space="preserve">44 coverage assessments in 21 countries</w:t>
      </w:r>
      <w:r>
        <w:t xml:space="preserve"> </w:t>
      </w:r>
      <w:r>
        <w:t xml:space="preserve">using the standard SQUEAC and SLEAC survey methods, mean estimated CMAM coverage was</w:t>
      </w:r>
      <w:r>
        <w:t xml:space="preserve"> </w:t>
      </w:r>
      <w:r>
        <w:rPr>
          <w:b/>
          <w:bCs/>
        </w:rPr>
        <w:t xml:space="preserve">38.3%</w:t>
      </w:r>
      <w:r>
        <w:t xml:space="preserve"> </w:t>
      </w:r>
      <w:r>
        <w:t xml:space="preserve">— with 38 of the 44 programmes below their applicable minimum standard, and these are 2012–13 assessments (DOI 10.1371/journal.pone.0128666, corroborated at DOI 10.3389/fpubh.2016.00198). Globally, RUTF reached about 1.96 million children in 2011, fewer than 10% of those who needed it (DOI 10.1186/s12916-015-0315-6).</w:t>
      </w:r>
    </w:p>
    <w:p>
      <w:pPr>
        <w:pStyle w:val="BodyText"/>
      </w:pPr>
      <w:r>
        <w:t xml:space="preserve">But that headline number bundles two distinct failures, and the evidence separates them:</w:t>
      </w:r>
    </w:p>
    <w:p>
      <w:pPr>
        <w:pStyle w:val="Compact"/>
        <w:numPr>
          <w:ilvl w:val="0"/>
          <w:numId w:val="1007"/>
        </w:numPr>
      </w:pPr>
      <w:r>
        <w:rPr>
          <w:b/>
          <w:bCs/>
        </w:rPr>
        <w:t xml:space="preserve">Case-finding</w:t>
      </w:r>
      <w:r>
        <w:t xml:space="preserve"> </w:t>
      </w:r>
      <w:r>
        <w:t xml:space="preserve">— are malnourished children identified at all? In Burundi, clinic-based systematic screening enrolled 98% of detected cases against 8% for community mass screening (PMID 32003813). Family MUAC, where caregivers measure their own children, was scaled rapidly during COVID-19 to replace suspended mass screening across a dozen countries (PMID 35929509).</w:t>
      </w:r>
    </w:p>
    <w:p>
      <w:pPr>
        <w:pStyle w:val="Compact"/>
        <w:numPr>
          <w:ilvl w:val="0"/>
          <w:numId w:val="1007"/>
        </w:numPr>
      </w:pPr>
      <w:r>
        <w:rPr>
          <w:b/>
          <w:bCs/>
        </w:rPr>
        <w:t xml:space="preserve">Conversion to treatment</w:t>
      </w:r>
      <w:r>
        <w:t xml:space="preserve"> </w:t>
      </w:r>
      <w:r>
        <w:t xml:space="preserve">— do identified children actually start and finish? In Mali, integrating supplements into community screening raised screening coverage 40 percentage points while treatment coverage stayed at</w:t>
      </w:r>
      <w:r>
        <w:t xml:space="preserve"> </w:t>
      </w:r>
      <w:r>
        <w:rPr>
          <w:b/>
          <w:bCs/>
        </w:rPr>
        <w:t xml:space="preserve">7.6%</w:t>
      </w:r>
      <w:r>
        <w:t xml:space="preserve"> </w:t>
      </w:r>
      <w:r>
        <w:t xml:space="preserve">(DOI 10.1371/journal.pmed.1002892). A Mozambican programme saw only 21.7% complete treatment, a 77% dropout (PMID 34583347); a Ghanaian programme in Tamale recovered 33.6% (DOI 10.1155/2015/641784).</w:t>
      </w:r>
    </w:p>
    <w:p>
      <w:pPr>
        <w:pStyle w:val="FirstParagraph"/>
      </w:pPr>
      <w:r>
        <w:rPr>
          <w:b/>
          <w:bCs/>
        </w:rPr>
        <w:t xml:space="preserve">Finding children and treating them are not the same intervention</w:t>
      </w:r>
      <w:r>
        <w:t xml:space="preserve">, and a programme can succeed dramatically at the first while failing at the second. Any coverage target should therefore specify which of the two it refers to.</w:t>
      </w:r>
    </w:p>
    <w:bookmarkEnd w:id="54"/>
    <w:bookmarkStart w:id="55" w:name="can-we-scale-it-the-coverage-lever"/>
    <w:p>
      <w:pPr>
        <w:pStyle w:val="Heading2"/>
      </w:pPr>
      <w:r>
        <w:t xml:space="preserve">5.5 Can we scale it? The coverage lever</w:t>
      </w:r>
    </w:p>
    <w:p>
      <w:pPr>
        <w:pStyle w:val="BlockText"/>
      </w:pPr>
      <w:r>
        <w:rPr>
          <w:b/>
          <w:bCs/>
        </w:rPr>
        <w:t xml:space="preserve">First, an objection worth answering directly.</w:t>
      </w:r>
      <w:r>
        <w:t xml:space="preserve"> </w:t>
      </w:r>
      <w:r>
        <w:t xml:space="preserve">If programmes recover only 71% of the children they treat, and that figure is not improving, why would reaching</w:t>
      </w:r>
      <w:r>
        <w:t xml:space="preserve"> </w:t>
      </w:r>
      <w:r>
        <w:rPr>
          <w:i/>
          <w:iCs/>
        </w:rPr>
        <w:t xml:space="preserve">more</w:t>
      </w:r>
      <w:r>
        <w:t xml:space="preserve"> </w:t>
      </w:r>
      <w:r>
        <w:t xml:space="preserve">children help? Is coverage really the lever?</w:t>
      </w:r>
    </w:p>
    <w:p>
      <w:pPr>
        <w:pStyle w:val="BlockText"/>
      </w:pPr>
      <w:r>
        <w:rPr>
          <w:b/>
          <w:bCs/>
        </w:rPr>
        <w:t xml:space="preserve">71% recovery is not</w:t>
      </w:r>
      <w:r>
        <w:rPr>
          <w:b/>
          <w:bCs/>
        </w:rPr>
        <w:t xml:space="preserve"> </w:t>
      </w:r>
      <w:r>
        <w:rPr>
          <w:b/>
          <w:bCs/>
        </w:rPr>
        <w:t xml:space="preserve">“no effect.”</w:t>
      </w:r>
      <w:r>
        <w:t xml:space="preserve"> </w:t>
      </w:r>
      <w:r>
        <w:t xml:space="preserve">It is the share of treated children who recover, measured against a condition carrying roughly 11% case fatality when untreated. The 75% Sphere figure is a</w:t>
      </w:r>
      <w:r>
        <w:t xml:space="preserve"> </w:t>
      </w:r>
      <w:r>
        <w:rPr>
          <w:b/>
          <w:bCs/>
        </w:rPr>
        <w:t xml:space="preserve">performance benchmark for programme quality, not a threshold below which treatment stops working</w:t>
      </w:r>
      <w:r>
        <w:t xml:space="preserve">. A programme recovering 71% of the children it reaches, while reaching one child in three, is leaving most of its potential benefit unclaimed — so expanding reach does add real benefit even at current quality.</w:t>
      </w:r>
    </w:p>
    <w:p>
      <w:pPr>
        <w:pStyle w:val="BlockText"/>
      </w:pPr>
      <w:r>
        <w:rPr>
          <w:b/>
          <w:bCs/>
        </w:rPr>
        <w:t xml:space="preserve">Two honest qualifications, though.</w:t>
      </w:r>
      <w:r>
        <w:t xml:space="preserve"> </w:t>
      </w:r>
      <w:r>
        <w:t xml:space="preserve">Because of the active-control ceiling (§5.3), no trial tells us how many lives are saved per additional child covered — the counterfactual has never been measured. And Ethiopia’s recovery</w:t>
      </w:r>
      <w:r>
        <w:t xml:space="preserve"> </w:t>
      </w:r>
      <w:r>
        <w:rPr>
          <w:i/>
          <w:iCs/>
        </w:rPr>
        <w:t xml:space="preserve">declined</w:t>
      </w:r>
      <w:r>
        <w:t xml:space="preserve"> </w:t>
      </w:r>
      <w:r>
        <w:t xml:space="preserve">as it scaled, so coverage expansion is not free: quality has to be managed alongside it, or the gains erode as they accumulate.</w:t>
      </w:r>
    </w:p>
    <w:p>
      <w:pPr>
        <w:pStyle w:val="BlockText"/>
      </w:pPr>
      <w:r>
        <w:t xml:space="preserve">The defensible position is therefore narrower than</w:t>
      </w:r>
      <w:r>
        <w:t xml:space="preserve"> </w:t>
      </w:r>
      <w:r>
        <w:t xml:space="preserve">“coverage is the lever.”</w:t>
      </w:r>
      <w:r>
        <w:t xml:space="preserve"> </w:t>
      </w:r>
      <w:r>
        <w:t xml:space="preserve">It is:</w:t>
      </w:r>
      <w:r>
        <w:t xml:space="preserve"> </w:t>
      </w:r>
      <w:r>
        <w:rPr>
          <w:b/>
          <w:bCs/>
        </w:rPr>
        <w:t xml:space="preserve">expanding coverage is the largest available gain, and it only holds if treatment quality and post-discharge support are resourced at the same time.</w:t>
      </w:r>
      <w:r>
        <w:t xml:space="preserve"> </w:t>
      </w:r>
      <w:r>
        <w:t xml:space="preserve">That is why the package in §3.6 has three components rather than one.</w:t>
      </w:r>
    </w:p>
    <w:p>
      <w:pPr>
        <w:pStyle w:val="FirstParagraph"/>
      </w:pPr>
      <w:r>
        <w:rPr>
          <w:b/>
          <w:bCs/>
        </w:rPr>
        <w:t xml:space="preserve">Decentralising treatment to community health workers is the best-evidenced coverage lever in this review</w:t>
      </w:r>
      <w:r>
        <w:t xml:space="preserve">, and it is consistent across independent program evaluations: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Country</w:t>
            </w:r>
          </w:p>
        </w:tc>
        <w:tc>
          <w:tcPr/>
          <w:p>
            <w:pPr>
              <w:pStyle w:val="Compact"/>
            </w:pPr>
            <w:r>
              <w:t xml:space="preserve">Change</w:t>
            </w:r>
          </w:p>
        </w:tc>
        <w:tc>
          <w:tcPr/>
          <w:p>
            <w:pPr>
              <w:pStyle w:val="Compact"/>
            </w:pPr>
            <w:r>
              <w:t xml:space="preserve">Effect</w:t>
            </w:r>
          </w:p>
        </w:tc>
      </w:tr>
      <w:tr>
        <w:tc>
          <w:tcPr/>
          <w:p>
            <w:pPr>
              <w:pStyle w:val="Compact"/>
            </w:pPr>
            <w:r>
              <w:rPr>
                <w:b/>
                <w:bCs/>
              </w:rPr>
              <w:t xml:space="preserve">Mali</w:t>
            </w:r>
            <w:r>
              <w:t xml:space="preserve"> </w:t>
            </w:r>
            <w:r>
              <w:t xml:space="preserve">(3 districts)</w:t>
            </w:r>
          </w:p>
        </w:tc>
        <w:tc>
          <w:tcPr/>
          <w:p>
            <w:pPr>
              <w:pStyle w:val="Compact"/>
            </w:pPr>
            <w:r>
              <w:t xml:space="preserve">CHWs added as treatment providers</w:t>
            </w:r>
          </w:p>
        </w:tc>
        <w:tc>
          <w:tcPr/>
          <w:p>
            <w:pPr>
              <w:pStyle w:val="Compact"/>
            </w:pPr>
            <w:r>
              <w:t xml:space="preserve">Kayes 28.7% to 57.1%; Bafoulabé 20.4% to 61.1%;</w:t>
            </w:r>
            <w:r>
              <w:t xml:space="preserve"> </w:t>
            </w:r>
            <w:r>
              <w:rPr>
                <w:b/>
                <w:bCs/>
              </w:rPr>
              <w:t xml:space="preserve">Kita unchanged, 28.4% to 28.5%</w:t>
            </w:r>
            <w:r>
              <w:t xml:space="preserve"> </w:t>
            </w:r>
            <w:r>
              <w:t xml:space="preserve">— DOI 10.1186/s12960-022-00771-8</w:t>
            </w:r>
          </w:p>
        </w:tc>
      </w:tr>
      <w:tr>
        <w:tc>
          <w:tcPr/>
          <w:p>
            <w:pPr>
              <w:pStyle w:val="Compact"/>
            </w:pPr>
            <w:r>
              <w:rPr>
                <w:b/>
                <w:bCs/>
              </w:rPr>
              <w:t xml:space="preserve">Tanzania</w:t>
            </w:r>
            <w:r>
              <w:t xml:space="preserve"> </w:t>
            </w:r>
            <w:r>
              <w:t xml:space="preserve">(non-randomised pilot)</w:t>
            </w:r>
          </w:p>
        </w:tc>
        <w:tc>
          <w:tcPr/>
          <w:p>
            <w:pPr>
              <w:pStyle w:val="Compact"/>
            </w:pPr>
            <w:r>
              <w:t xml:space="preserve">CHW home treatment vs facility, concurrent areas</w:t>
            </w:r>
          </w:p>
        </w:tc>
        <w:tc>
          <w:tcPr/>
          <w:p>
            <w:pPr>
              <w:pStyle w:val="Compact"/>
            </w:pPr>
            <w:r>
              <w:t xml:space="preserve">Coverage</w:t>
            </w:r>
            <w:r>
              <w:t xml:space="preserve"> </w:t>
            </w:r>
            <w:r>
              <w:rPr>
                <w:b/>
                <w:bCs/>
              </w:rPr>
              <w:t xml:space="preserve">80.9% vs 41.7%</w:t>
            </w:r>
            <w:r>
              <w:t xml:space="preserve">; defaulting 6.5% vs ~21%; cure RR 1.17 (1.05–1.31) — DOI 10.1038/s41598-021-81811-6</w:t>
            </w:r>
          </w:p>
        </w:tc>
      </w:tr>
      <w:tr>
        <w:tc>
          <w:tcPr/>
          <w:p>
            <w:pPr>
              <w:pStyle w:val="Compact"/>
            </w:pPr>
            <w:r>
              <w:rPr>
                <w:b/>
                <w:bCs/>
              </w:rPr>
              <w:t xml:space="preserve">Mauritania</w:t>
            </w:r>
          </w:p>
        </w:tc>
        <w:tc>
          <w:tcPr/>
          <w:p>
            <w:pPr>
              <w:pStyle w:val="Compact"/>
            </w:pPr>
            <w:r>
              <w:t xml:space="preserve">CHW decentralisation</w:t>
            </w:r>
          </w:p>
        </w:tc>
        <w:tc>
          <w:tcPr/>
          <w:p>
            <w:pPr>
              <w:pStyle w:val="Compact"/>
            </w:pPr>
            <w:r>
              <w:t xml:space="preserve">Coverage 53.6% to 71.7%; defaulting 2.6% vs 3.8% — DOI 10.3390/children8121132</w:t>
            </w:r>
          </w:p>
        </w:tc>
      </w:tr>
      <w:tr>
        <w:tc>
          <w:tcPr/>
          <w:p>
            <w:pPr>
              <w:pStyle w:val="Compact"/>
            </w:pPr>
            <w:r>
              <w:rPr>
                <w:b/>
                <w:bCs/>
              </w:rPr>
              <w:t xml:space="preserve">Niger</w:t>
            </w:r>
            <w:r>
              <w:t xml:space="preserve"> </w:t>
            </w:r>
            <w:r>
              <w:t xml:space="preserve">(humanitarian, simplified)</w:t>
            </w:r>
          </w:p>
        </w:tc>
        <w:tc>
          <w:tcPr/>
          <w:p>
            <w:pPr>
              <w:pStyle w:val="Compact"/>
            </w:pPr>
            <w:r>
              <w:t xml:space="preserve">Simplified vs standard protocol</w:t>
            </w:r>
          </w:p>
        </w:tc>
        <w:tc>
          <w:tcPr/>
          <w:p>
            <w:pPr>
              <w:pStyle w:val="Compact"/>
            </w:pPr>
            <w:r>
              <w:t xml:space="preserve">Coverage +51.7 vs +35.6 percentage points, using</w:t>
            </w:r>
            <w:r>
              <w:t xml:space="preserve"> </w:t>
            </w:r>
            <w:r>
              <w:rPr>
                <w:b/>
                <w:bCs/>
              </w:rPr>
              <w:t xml:space="preserve">70 vs 95 RUTF sachets</w:t>
            </w:r>
            <w:r>
              <w:t xml:space="preserve"> </w:t>
            </w:r>
            <w:r>
              <w:t xml:space="preserve">per cured child — DOI 10.3390/nu15081975</w:t>
            </w:r>
          </w:p>
        </w:tc>
      </w:tr>
    </w:tbl>
    <w:p>
      <w:pPr>
        <w:pStyle w:val="BodyText"/>
      </w:pPr>
      <w:r>
        <w:t xml:space="preserve">Community health workers achieve high-quality MUAC diagnosis and treatment — 75–97% correct with supervision — and integrate into</w:t>
      </w:r>
      <w:r>
        <w:t xml:space="preserve"> </w:t>
      </w:r>
      <w:r>
        <w:rPr>
          <w:b/>
          <w:bCs/>
        </w:rPr>
        <w:t xml:space="preserve">integrated community case management (iCCM)</w:t>
      </w:r>
      <w:r>
        <w:t xml:space="preserve">, the standard package for treating childhood illness at community level (DOI 10.9745/ghsp-d-18-00105, 10.1111/mcn.12719).</w:t>
      </w:r>
      <w:r>
        <w:t xml:space="preserve"> </w:t>
      </w:r>
      <w:r>
        <w:rPr>
          <w:b/>
          <w:bCs/>
        </w:rPr>
        <w:t xml:space="preserve">Ethiopia is the only country delivering CHW-managed SAM treatment at national scale</w:t>
      </w:r>
      <w:r>
        <w:t xml:space="preserve">, through roughly 40,000 Health Extension Workers; the other country experiences in that review were small pilots supported by international non-governmental organisations (DOI 10.1186/s12961-021-00757-3).</w:t>
      </w:r>
    </w:p>
    <w:p>
      <w:pPr>
        <w:pStyle w:val="BodyText"/>
      </w:pPr>
      <w:r>
        <w:rPr>
          <w:b/>
          <w:bCs/>
        </w:rPr>
        <w:t xml:space="preserve">Two caveats on the lever.</w:t>
      </w:r>
      <w:r>
        <w:t xml:space="preserve"> </w:t>
      </w:r>
      <w:r>
        <w:t xml:space="preserve">In Pakistan, Lady Health Worker-delivered treatment achieved</w:t>
      </w:r>
      <w:r>
        <w:t xml:space="preserve"> </w:t>
      </w:r>
      <w:r>
        <w:rPr>
          <w:i/>
          <w:iCs/>
        </w:rPr>
        <w:t xml:space="preserve">lower</w:t>
      </w:r>
      <w:r>
        <w:t xml:space="preserve"> </w:t>
      </w:r>
      <w:r>
        <w:t xml:space="preserve">recovery than facility care — 76.0% against 82.95%, with higher defaulting (3.8% vs 2.5%) and non-response (20.0% vs 14.0%) — despite reducing household opportunity costs (DOI 10.1186/s12889-018-6382-9). And in Burundi, clinic-based systematic screening enrolled 98% of detected cases against 8% for community mass screening (PMID 32003813). Facility channels are not always the weaker option, and decentralisation buys reach without automatically buying quality.</w:t>
      </w:r>
    </w:p>
    <w:p>
      <w:pPr>
        <w:pStyle w:val="BodyText"/>
      </w:pPr>
      <w:r>
        <w:rPr>
          <w:b/>
          <w:bCs/>
        </w:rPr>
        <w:t xml:space="preserve">And reach is not the same as uptake</w:t>
      </w:r>
      <w:r>
        <w:t xml:space="preserve"> </w:t>
      </w:r>
      <w:r>
        <w:t xml:space="preserve">(§5.4): real-world uptake of WHO guidelines reaches roughly 25% of 20 high-burden countries nationwide (DOI 10.3310/hta16190).</w:t>
      </w:r>
      <w:r>
        <w:t xml:space="preserve"> </w:t>
      </w:r>
      <w:r>
        <w:rPr>
          <w:b/>
          <w:bCs/>
        </w:rPr>
        <w:t xml:space="preserve">Small-quantity lipid-based nutrient supplements (SQ-LNS)</w:t>
      </w:r>
      <w:r>
        <w:t xml:space="preserve"> </w:t>
      </w:r>
      <w:r>
        <w:t xml:space="preserve">appear later in this chapter as the commodity used in the Mali screening trial.</w:t>
      </w:r>
    </w:p>
    <w:bookmarkEnd w:id="55"/>
    <w:bookmarkStart w:id="56" w:name="Xf9cc76cfe8b5896dd1cbcfcdb2529674c50552c"/>
    <w:p>
      <w:pPr>
        <w:pStyle w:val="Heading2"/>
      </w:pPr>
      <w:r>
        <w:t xml:space="preserve">5.6 Comparison arms — simplified versus standard</w:t>
      </w:r>
    </w:p>
    <w:p>
      <w:pPr>
        <w:pStyle w:val="FirstParagraph"/>
      </w:pPr>
      <w:r>
        <w:t xml:space="preserve">Partners specifically asked about simplified protocols. The evidence supports them.</w:t>
      </w:r>
    </w:p>
    <w:p>
      <w:pPr>
        <w:pStyle w:val="Compact"/>
        <w:numPr>
          <w:ilvl w:val="0"/>
          <w:numId w:val="1008"/>
        </w:numPr>
      </w:pPr>
      <w:r>
        <w:rPr>
          <w:b/>
          <w:bCs/>
        </w:rPr>
        <w:t xml:space="preserve">ComPAS</w:t>
      </w:r>
      <w:r>
        <w:t xml:space="preserve"> </w:t>
      </w:r>
      <w:r>
        <w:t xml:space="preserve">(Combined Protocol for Acute Malnutrition Study — one product for both SAM and MAM): recovery</w:t>
      </w:r>
      <w:r>
        <w:t xml:space="preserve"> </w:t>
      </w:r>
      <w:r>
        <w:rPr>
          <w:b/>
          <w:bCs/>
        </w:rPr>
        <w:t xml:space="preserve">as good as standard care</w:t>
      </w:r>
      <w:r>
        <w:t xml:space="preserve">, risk difference 0.03 (−0.05–0.10), N=2,488 — a non-inferiority result, meaning the simplified protocol was not worse by more than the pre-agreed margin, not that it was 3% better. It removes the need for two separate products (DOI 10.1371/journal.pmed.1003192). In humanitarian Niger it also delivered the larger coverage gain noted above.</w:t>
      </w:r>
    </w:p>
    <w:p>
      <w:pPr>
        <w:pStyle w:val="Compact"/>
        <w:numPr>
          <w:ilvl w:val="0"/>
          <w:numId w:val="1008"/>
        </w:numPr>
      </w:pPr>
      <w:r>
        <w:rPr>
          <w:b/>
          <w:bCs/>
        </w:rPr>
        <w:t xml:space="preserve">OptiMA</w:t>
      </w:r>
      <w:r>
        <w:t xml:space="preserve"> </w:t>
      </w:r>
      <w:r>
        <w:t xml:space="preserve">(Optimising treatment for acute Malnutrition — reduced, tapered RUTF dosing): recovery again as good as standard care, risk difference 2.0 (−2.0–6.4), using</w:t>
      </w:r>
      <w:r>
        <w:t xml:space="preserve"> </w:t>
      </w:r>
      <w:r>
        <w:rPr>
          <w:b/>
          <w:bCs/>
        </w:rPr>
        <w:t xml:space="preserve">about 46% less RUTF</w:t>
      </w:r>
      <w:r>
        <w:t xml:space="preserve"> </w:t>
      </w:r>
      <w:r>
        <w:t xml:space="preserve">— 78 sachets per child against 147 (DOI 10.1016/j.eclinm.2023.101878). A large single-arm implementation in Burkina Faso achieved 84% recovery by 12 weeks (PMID 34957682).</w:t>
      </w:r>
    </w:p>
    <w:p>
      <w:pPr>
        <w:pStyle w:val="FirstParagraph"/>
      </w:pPr>
      <w:r>
        <w:t xml:space="preserve">Both reduce commodity load without measurable loss of recovery. Given that RUTF supply is the dominant institutional barrier (§5.9), this is the most actionable finding in the chapter.</w:t>
      </w:r>
    </w:p>
    <w:bookmarkEnd w:id="56"/>
    <w:bookmarkStart w:id="57" w:name="combining-cmam-with-other-interventions"/>
    <w:p>
      <w:pPr>
        <w:pStyle w:val="Heading2"/>
      </w:pPr>
      <w:r>
        <w:t xml:space="preserve">5.7 Combining CMAM with other interventions</w:t>
      </w:r>
    </w:p>
    <w:p>
      <w:pPr>
        <w:pStyle w:val="FirstParagraph"/>
      </w:pPr>
      <w:r>
        <w:rPr>
          <w:b/>
          <w:bCs/>
        </w:rPr>
        <w:t xml:space="preserve">What the evidence supports.</w:t>
      </w:r>
      <w:r>
        <w:t xml:space="preserve"> </w:t>
      </w:r>
      <w:r>
        <w:t xml:space="preserve">Combination</w:t>
      </w:r>
      <w:r>
        <w:t xml:space="preserve"> </w:t>
      </w:r>
      <w:r>
        <w:rPr>
          <w:i/>
          <w:iCs/>
        </w:rPr>
        <w:t xml:space="preserve">within</w:t>
      </w:r>
      <w:r>
        <w:t xml:space="preserve"> </w:t>
      </w:r>
      <w:r>
        <w:t xml:space="preserve">CMAM is well evidenced — that is exactly what ComPAS and OptiMA are, and both hold recovery while simplifying delivery. Combination with a</w:t>
      </w:r>
      <w:r>
        <w:t xml:space="preserve"> </w:t>
      </w:r>
      <w:r>
        <w:rPr>
          <w:b/>
          <w:bCs/>
        </w:rPr>
        <w:t xml:space="preserve">demand-side mechanism</w:t>
      </w:r>
      <w:r>
        <w:t xml:space="preserve"> </w:t>
      </w:r>
      <w:r>
        <w:t xml:space="preserve">is also evidenced: the Democratic Republic of the Congo cash-transfer trial above, and a Burkina Faso trial where an unconditional cash-plus package (cash, behaviour-change communication and community case management) improved linear growth and reduced low birthweight relative to community activities alone — notably even though the cash component reached only about 42% of eligible beneficiaries (PMID 33201927).</w:t>
      </w:r>
    </w:p>
    <w:p>
      <w:pPr>
        <w:pStyle w:val="BodyText"/>
      </w:pPr>
      <w:r>
        <w:rPr>
          <w:b/>
          <w:bCs/>
        </w:rPr>
        <w:t xml:space="preserve">What the evidence does not support — and one warning.</w:t>
      </w:r>
      <w:r>
        <w:t xml:space="preserve"> </w:t>
      </w:r>
      <w:r>
        <w:t xml:space="preserve">There is essentially no trial evidence combining CMAM with breastfeeding support or antenatal supplementation. More importantly, the corpus contains a documented case where integration</w:t>
      </w:r>
      <w:r>
        <w:t xml:space="preserve"> </w:t>
      </w:r>
      <w:r>
        <w:rPr>
          <w:i/>
          <w:iCs/>
        </w:rPr>
        <w:t xml:space="preserve">backfired</w:t>
      </w:r>
      <w:r>
        <w:t xml:space="preserve">: adding SQ-LNS distribution to community screening in Mali greatly increased screening and behaviour-change coverage and cut acute-malnutrition incidence by about 30%, but had</w:t>
      </w:r>
      <w:r>
        <w:t xml:space="preserve"> </w:t>
      </w:r>
      <w:r>
        <w:rPr>
          <w:b/>
          <w:bCs/>
        </w:rPr>
        <w:t xml:space="preserve">no effect on treatment coverage and unintentionally reduced CMAM enrolment</w:t>
      </w:r>
      <w:r>
        <w:t xml:space="preserve"> </w:t>
      </w:r>
      <w:r>
        <w:t xml:space="preserve">(DOI 10.1371/journal.pmed.1002892).</w:t>
      </w:r>
    </w:p>
    <w:p>
      <w:pPr>
        <w:pStyle w:val="BodyText"/>
      </w:pPr>
      <w:r>
        <w:t xml:space="preserve">That case should temper any assumption that bundling interventions is additive. Adding a task to a community platform can displace an existing one. Where a co-design combines CMAM with anything else, the evidence argues for explicitly measuring whether treatment enrolment holds.</w:t>
      </w:r>
    </w:p>
    <w:bookmarkEnd w:id="57"/>
    <w:bookmarkStart w:id="58" w:name="where-it-has-worked"/>
    <w:p>
      <w:pPr>
        <w:pStyle w:val="Heading2"/>
      </w:pPr>
      <w:r>
        <w:t xml:space="preserve">5.8 Where it has worked</w:t>
      </w:r>
    </w:p>
    <w:p>
      <w:pPr>
        <w:pStyle w:val="FirstParagraph"/>
      </w:pPr>
      <w:r>
        <w:t xml:space="preserve">Country-specific CMAM evidence concentrates in</w:t>
      </w:r>
      <w:r>
        <w:t xml:space="preserve"> </w:t>
      </w:r>
      <w:r>
        <w:rPr>
          <w:b/>
          <w:bCs/>
        </w:rPr>
        <w:t xml:space="preserve">Ethiopia (43 country-specific records), India (20), Malawi (18), Kenya and Niger (11 each)</w:t>
      </w:r>
      <w:r>
        <w:t xml:space="preserve">. See §4 for the full cross-intervention country analysis; the points below are CMAM-specific.</w:t>
      </w:r>
    </w:p>
    <w:p>
      <w:pPr>
        <w:pStyle w:val="BodyText"/>
      </w:pPr>
      <w:r>
        <w:rPr>
          <w:b/>
          <w:bCs/>
        </w:rPr>
        <w:t xml:space="preserve">Ethiopia — the only national-scale case.</w:t>
      </w:r>
      <w:r>
        <w:t xml:space="preserve"> </w:t>
      </w:r>
      <w:r>
        <w:t xml:space="preserve">Uncomplicated SAM treatment was decentralised to health posts and Health Extension Workers in 2008 as national strategy (DOI 10.1186/s12887-019-1407-9), and delivery was transitioned into the government system from an NGO-run emergency programme (DOI 10.1093/heapol/czv003) — the exact institutional move a scaling programme would need to make. It is also where the quality problem is documented: recovery declining with maturity, and defaulter rates varying from 4% to 17.5% between regions (DOI 10.5897/ijnam2015.0193).</w:t>
      </w:r>
    </w:p>
    <w:p>
      <w:pPr>
        <w:pStyle w:val="BodyText"/>
      </w:pPr>
      <w:r>
        <w:rPr>
          <w:b/>
          <w:bCs/>
        </w:rPr>
        <w:t xml:space="preserve">India — state-level scale within a dense platform.</w:t>
      </w:r>
      <w:r>
        <w:t xml:space="preserve"> </w:t>
      </w:r>
      <w:r>
        <w:t xml:space="preserve">Rajasthan’s POSHAN programme is described as the only Indian CMAM programme at large scale (13 districts), led directly by the state government (DOI 10.18203/2320-6012.ijrms20184920), and a domiciliary SAM study explicitly mapped each research role onto a government cadre equivalent to enable handover (DOI 10.1136/bmjgh-2017-000702). The documented constraint is inter-sectoral: block-level coordination between nutrition and health staff is the weakest link (DOI 10.1186/s12889-017-4088-z).</w:t>
      </w:r>
    </w:p>
    <w:p>
      <w:pPr>
        <w:pStyle w:val="BodyText"/>
      </w:pPr>
      <w:r>
        <w:rPr>
          <w:b/>
          <w:bCs/>
        </w:rPr>
        <w:t xml:space="preserve">Pakistan — the counter-signal.</w:t>
      </w:r>
      <w:r>
        <w:t xml:space="preserve"> </w:t>
      </w:r>
      <w:r>
        <w:t xml:space="preserve">The only setting in the corpus where CHW-delivered treatment under-performed facility care (DOI 10.1186/s12889-018-6382-9). Relevant to any design that assumes decentralisation is free.</w:t>
      </w:r>
    </w:p>
    <w:p>
      <w:pPr>
        <w:pStyle w:val="BodyText"/>
      </w:pPr>
      <w:r>
        <w:rPr>
          <w:b/>
          <w:bCs/>
        </w:rPr>
        <w:t xml:space="preserve">Bangladesh — platform not yet built.</w:t>
      </w:r>
      <w:r>
        <w:t xml:space="preserve"> </w:t>
      </w:r>
      <w:r>
        <w:t xml:space="preserve">Screening and treatment were not part of routine activity, RUTF was unavailable at every facility visited, and stakeholder resistance to importing or producing RUTF was described as the most fundamental constraint (DOI 10.1186/s12913-018-3087-9, PMID 24649941).</w:t>
      </w:r>
    </w:p>
    <w:bookmarkEnd w:id="58"/>
    <w:bookmarkStart w:id="59" w:name="what-blocks-it"/>
    <w:p>
      <w:pPr>
        <w:pStyle w:val="Heading2"/>
      </w:pPr>
      <w:r>
        <w:t xml:space="preserve">5.9 What blocks it</w:t>
      </w:r>
    </w:p>
    <w:p>
      <w:pPr>
        <w:pStyle w:val="FirstParagraph"/>
      </w:pPr>
      <w:r>
        <w:rPr>
          <w:b/>
          <w:bCs/>
        </w:rPr>
        <w:t xml:space="preserve">Supply.</w:t>
      </w:r>
      <w:r>
        <w:t xml:space="preserve"> </w:t>
      </w:r>
      <w:r>
        <w:t xml:space="preserve">RUTF stock-outs are pervasive. One Ghanaian district had RUTF in stock at none of eight facilities, with only 25% of staff trained (DOI 10.1016/j.jtumed.2023.02.002). In Bangladesh, RUTF was unavailable at every facility visited, therapeutic milk stocked out every three to four months, and stakeholder resistance to importing or locally producing RUTF was described as the most fundamental constraint to scale-up (DOI 10.1186/s12913-018-3087-9).</w:t>
      </w:r>
    </w:p>
    <w:p>
      <w:pPr>
        <w:pStyle w:val="BodyText"/>
      </w:pPr>
      <w:r>
        <w:rPr>
          <w:b/>
          <w:bCs/>
        </w:rPr>
        <w:t xml:space="preserve">Household behaviour.</w:t>
      </w:r>
      <w:r>
        <w:t xml:space="preserve"> </w:t>
      </w:r>
      <w:r>
        <w:t xml:space="preserve">Sharing and resale of RUTF within households is common — 62.9% reported sharing in one cohort (DOI 10.1182/bloodadvances.2023010789) — and is also flagged in Ethiopian outpatient programmes (PMID 32631260). Reducing visit frequency increases ration size per visit and, with it, reported sharing and defaulting (PMID 35929509).</w:t>
      </w:r>
    </w:p>
    <w:p>
      <w:pPr>
        <w:pStyle w:val="BodyText"/>
      </w:pPr>
      <w:r>
        <w:rPr>
          <w:b/>
          <w:bCs/>
        </w:rPr>
        <w:t xml:space="preserve">Access.</w:t>
      </w:r>
      <w:r>
        <w:t xml:space="preserve"> </w:t>
      </w:r>
      <w:r>
        <w:t xml:space="preserve">Distance and transport cost suppress care-seeking. In South Sudan, 91.3% of caregivers sought care but only 54.3% enrolled in CMAM, with 14.9% reached by a nutrition volunteer (PMID 40361061). In Ethiopia, children whose mothers travelled two hours or more had cure rates of 65.6% against 81.0%, with recovery 1.48 times higher for those closer (adjusted HR 1.48, 1.08–2.01; DOI 10.5897/ijnam2015.0193).</w:t>
      </w:r>
    </w:p>
    <w:p>
      <w:pPr>
        <w:pStyle w:val="BodyText"/>
      </w:pPr>
      <w:r>
        <w:rPr>
          <w:b/>
          <w:bCs/>
        </w:rPr>
        <w:t xml:space="preserve">Workforce.</w:t>
      </w:r>
      <w:r>
        <w:t xml:space="preserve"> </w:t>
      </w:r>
      <w:r>
        <w:t xml:space="preserve">Health-worker turnover erodes capacity — 40.6% of trained counsellors left in one Colombian programme (PMID 40296067). In Bangladesh, meeting staffing ratios for outpatient MAM management alone was estimated to need 466 additional staff, with 74% of CMAM funding donor-provided on three-year cycles (PMID 24649941).</w:t>
      </w:r>
    </w:p>
    <w:p>
      <w:pPr>
        <w:pStyle w:val="BodyText"/>
      </w:pPr>
      <w:r>
        <w:rPr>
          <w:b/>
          <w:bCs/>
        </w:rPr>
        <w:t xml:space="preserve">Institutional.</w:t>
      </w:r>
      <w:r>
        <w:t xml:space="preserve"> </w:t>
      </w:r>
      <w:r>
        <w:t xml:space="preserve">Block-level coordination between nutrition and health services is documented as the weakest link in India’s system (DOI 10.1186/s12889-017-4088-z). Policy-maker and donor resistance to investing in community-based SAM management persists despite evidence of improved survival, and SAM treatment remains under-funded relative to its contribution to under-five mortality (DOI 10.5897/jphe11.212).</w:t>
      </w:r>
    </w:p>
    <w:bookmarkEnd w:id="59"/>
    <w:bookmarkStart w:id="60" w:name="equity"/>
    <w:p>
      <w:pPr>
        <w:pStyle w:val="Heading2"/>
      </w:pPr>
      <w:r>
        <w:t xml:space="preserve">5.10 Equity</w:t>
      </w:r>
    </w:p>
    <w:p>
      <w:pPr>
        <w:pStyle w:val="FirstParagraph"/>
      </w:pPr>
      <w:r>
        <w:t xml:space="preserve">Integrated community case management reduced infant mortality more in the poorest households than in better-off ones — a pro-poor gradient (PMID 33565123). HIV-positive children recover far less well — SAM recovery pooled odds ratio 0.19 (PMID 32187182), MAM recovery 63% against 88% (PMID 28934235). Concurrent wasting and stunting concentrates in fragile and conflict-affected states, 3.6% against 2.24% (PMID 34486229), which is precisely where coverage evidence is thinnest. Infants under six months and children with disabilities are flagged as neglected populations for whom current guidance is inadequate.</w:t>
      </w:r>
    </w:p>
    <w:bookmarkEnd w:id="60"/>
    <w:bookmarkStart w:id="61" w:name="how-to-read-this-chapter"/>
    <w:p>
      <w:pPr>
        <w:pStyle w:val="Heading2"/>
      </w:pPr>
      <w:r>
        <w:t xml:space="preserve">5.11 How to read this chapter</w:t>
      </w:r>
    </w:p>
    <w:p>
      <w:pPr>
        <w:pStyle w:val="FirstParagraph"/>
      </w:pPr>
      <w:r>
        <w:t xml:space="preserve">The honest summary for a scaling decision is that CMAM’s clinical efficacy is settled but its</w:t>
      </w:r>
      <w:r>
        <w:t xml:space="preserve"> </w:t>
      </w:r>
      <w:r>
        <w:rPr>
          <w:b/>
          <w:bCs/>
        </w:rPr>
        <w:t xml:space="preserve">operational performance is not adequate</w:t>
      </w:r>
      <w:r>
        <w:t xml:space="preserve"> </w:t>
      </w:r>
      <w:r>
        <w:t xml:space="preserve">— roughly one-third coverage, 71% recovery against a 75% standard, and quality that declined in the one country that took it to national scale. The CHW-decentralisation evidence shows how to raise reach, and simplified protocols show how to cut commodity load. Neither addresses supply chain or treatment quality, which remain binding.</w:t>
      </w:r>
    </w:p>
    <w:p>
      <w:pPr>
        <w:pStyle w:val="BodyText"/>
      </w:pPr>
      <w:r>
        <w:t xml:space="preserve">For a co-design, that points to a package rather than a single intervention: decentralised CHW delivery for coverage, a simplified protocol for commodity efficiency, and an explicit supervision and supply-chain component — because the evidence says the first two will not hold without the third. That package is set out as Option B in §3.6.</w:t>
      </w:r>
    </w:p>
    <w:bookmarkEnd w:id="61"/>
    <w:bookmarkEnd w:id="62"/>
    <w:bookmarkStart w:id="77" w:name="breastfeeding-promotion-and-support"/>
    <w:p>
      <w:pPr>
        <w:pStyle w:val="Heading1"/>
      </w:pPr>
      <w:r>
        <w:t xml:space="preserve">6. Breastfeeding promotion and support</w:t>
      </w:r>
    </w:p>
    <w:p>
      <w:pPr>
        <w:pStyle w:val="BlockText"/>
      </w:pPr>
      <w:r>
        <w:rPr>
          <w:b/>
          <w:bCs/>
        </w:rPr>
        <w:t xml:space="preserve">Scaling position:</w:t>
      </w:r>
      <w:r>
        <w:t xml:space="preserve"> </w:t>
      </w:r>
      <w:r>
        <w:t xml:space="preserve">behavioural (community package) / health-system platform (facility package)</w:t>
      </w:r>
      <w:r>
        <w:t xml:space="preserve"> </w:t>
      </w:r>
      <w:r>
        <w:rPr>
          <w:b/>
          <w:bCs/>
        </w:rPr>
        <w:t xml:space="preserve">Evidence base:</w:t>
      </w:r>
      <w:r>
        <w:t xml:space="preserve"> </w:t>
      </w:r>
      <w:r>
        <w:t xml:space="preserve">193 on-topic records — 30 meta-analyses, 29 systematic reviews, 12 randomised controlled trials, 28 qualitative studies. The deepest synthesis tier of the three.</w:t>
      </w:r>
      <w:r>
        <w:t xml:space="preserve"> </w:t>
      </w:r>
      <w:r>
        <w:rPr>
          <w:b/>
          <w:bCs/>
        </w:rPr>
        <w:t xml:space="preserve">What the evidence establishes:</w:t>
      </w:r>
      <w:r>
        <w:t xml:space="preserve"> </w:t>
      </w:r>
      <w:r>
        <w:t xml:space="preserve">that support works, delivered by professionals or peers, and that it works better in low- and middle-income countries than high-income ones. The flagship Cochrane review’s own authors describe what remains as a scaling problem. Kangaroo Mother Care carries a mortality benefit rated high certainty — the only such rating in this review.</w:t>
      </w:r>
      <w:r>
        <w:t xml:space="preserve"> </w:t>
      </w:r>
      <w:r>
        <w:rPr>
          <w:b/>
          <w:bCs/>
        </w:rPr>
        <w:t xml:space="preserve">What programmes actually achieve:</w:t>
      </w:r>
      <w:r>
        <w:t xml:space="preserve"> </w:t>
      </w:r>
      <w:r>
        <w:t xml:space="preserve">exclusive breastfeeding and early initiation below the 70% global target in most settings measured.</w:t>
      </w:r>
      <w:r>
        <w:t xml:space="preserve"> </w:t>
      </w:r>
      <w:r>
        <w:rPr>
          <w:b/>
          <w:bCs/>
        </w:rPr>
        <w:t xml:space="preserve">Where it is thin:</w:t>
      </w:r>
      <w:r>
        <w:t xml:space="preserve"> </w:t>
      </w:r>
      <w:r>
        <w:t xml:space="preserve">structural and policy levers (7% of at-scale reviews), fidelity documentation, and the handover between facility and community delivery.</w:t>
      </w:r>
    </w:p>
    <w:bookmarkStart w:id="63" w:name="what-it-is-1"/>
    <w:p>
      <w:pPr>
        <w:pStyle w:val="Heading2"/>
      </w:pPr>
      <w:r>
        <w:t xml:space="preserve">6.1 What it is</w:t>
      </w:r>
    </w:p>
    <w:p>
      <w:pPr>
        <w:pStyle w:val="FirstParagraph"/>
      </w:pPr>
      <w:r>
        <w:t xml:space="preserve">Breastfeeding support spans two delivery channels that CARE asked us to distinguish:</w:t>
      </w:r>
    </w:p>
    <w:p>
      <w:pPr>
        <w:pStyle w:val="Compact"/>
        <w:numPr>
          <w:ilvl w:val="0"/>
          <w:numId w:val="1009"/>
        </w:numPr>
      </w:pPr>
      <w:r>
        <w:rPr>
          <w:b/>
          <w:bCs/>
        </w:rPr>
        <w:t xml:space="preserve">Package A — facility-based support around delivery.</w:t>
      </w:r>
      <w:r>
        <w:t xml:space="preserve"> </w:t>
      </w:r>
      <w:r>
        <w:rPr>
          <w:b/>
          <w:bCs/>
        </w:rPr>
        <w:t xml:space="preserve">Baby-Friendly Hospital Initiative (BFHI)</w:t>
      </w:r>
      <w:r>
        <w:t xml:space="preserve"> </w:t>
      </w:r>
      <w:r>
        <w:t xml:space="preserve">practices, early initiation of breastfeeding within the first hour, skin-to-skin contact, and</w:t>
      </w:r>
      <w:r>
        <w:t xml:space="preserve"> </w:t>
      </w:r>
      <w:r>
        <w:rPr>
          <w:b/>
          <w:bCs/>
        </w:rPr>
        <w:t xml:space="preserve">Kangaroo Mother Care (KMC)</w:t>
      </w:r>
      <w:r>
        <w:t xml:space="preserve"> </w:t>
      </w:r>
      <w:r>
        <w:t xml:space="preserve">— in which the mother holds the newborn skin-to-skin on her chest for extended periods — all delivered through the antenatal–delivery–postnatal platform.</w:t>
      </w:r>
    </w:p>
    <w:p>
      <w:pPr>
        <w:pStyle w:val="Compact"/>
        <w:numPr>
          <w:ilvl w:val="0"/>
          <w:numId w:val="1009"/>
        </w:numPr>
      </w:pPr>
      <w:r>
        <w:rPr>
          <w:b/>
          <w:bCs/>
        </w:rPr>
        <w:t xml:space="preserve">Package B — community and early-postnatal counselling.</w:t>
      </w:r>
      <w:r>
        <w:t xml:space="preserve"> </w:t>
      </w:r>
      <w:r>
        <w:t xml:space="preserve">Repeated home visits and peer support delivered by community health workers (CHWs) or trained peers after discharge.</w:t>
      </w:r>
    </w:p>
    <w:p>
      <w:pPr>
        <w:pStyle w:val="FirstParagraph"/>
      </w:pPr>
      <w:r>
        <w:t xml:space="preserve">Two outcome terms recur throughout:</w:t>
      </w:r>
      <w:r>
        <w:t xml:space="preserve"> </w:t>
      </w:r>
      <w:r>
        <w:rPr>
          <w:b/>
          <w:bCs/>
        </w:rPr>
        <w:t xml:space="preserve">exclusive breastfeeding (EBF)</w:t>
      </w:r>
      <w:r>
        <w:t xml:space="preserve">, meaning breast milk only with no water or other food, and</w:t>
      </w:r>
      <w:r>
        <w:t xml:space="preserve"> </w:t>
      </w:r>
      <w:r>
        <w:rPr>
          <w:b/>
          <w:bCs/>
        </w:rPr>
        <w:t xml:space="preserve">early initiation of breastfeeding (EIBF)</w:t>
      </w:r>
      <w:r>
        <w:t xml:space="preserve">, meaning the first feed within one hour of birth.</w:t>
      </w:r>
    </w:p>
    <w:p>
      <w:pPr>
        <w:pStyle w:val="BodyText"/>
      </w:pPr>
      <w:r>
        <w:t xml:space="preserve">A note on how the facility/community distinction was handled. Retrieval was run as a single title-anchored search rather than as two separate searches, because broad breastfeeding reviews genuinely cover both channels — separate searches returned near-identical top-lists. The distinction is therefore a</w:t>
      </w:r>
      <w:r>
        <w:t xml:space="preserve"> </w:t>
      </w:r>
      <w:r>
        <w:rPr>
          <w:b/>
          <w:bCs/>
        </w:rPr>
        <w:t xml:space="preserve">per-study delivery-channel judgment made at extraction</w:t>
      </w:r>
      <w:r>
        <w:t xml:space="preserve">, not a retrieval split. Of 193 breastfeeding records, 62 are tagged facility, 27 community, 65 both, and 39 not applicable.</w:t>
      </w:r>
    </w:p>
    <w:bookmarkEnd w:id="63"/>
    <w:bookmarkStart w:id="64" w:name="the-most-effective-levers-1"/>
    <w:p>
      <w:pPr>
        <w:pStyle w:val="Heading2"/>
      </w:pPr>
      <w:r>
        <w:t xml:space="preserve">6.2 The most effective levers</w:t>
      </w:r>
    </w:p>
    <w:p>
      <w:pPr>
        <w:pStyle w:val="FirstParagraph"/>
      </w:pPr>
      <w:r>
        <w:rPr>
          <w:i/>
          <w:iCs/>
        </w:rPr>
        <w:t xml:space="preserve">Ranking criterion: certainty of evidence first, then magnitude on the outcome that matters most (survival above breastfeeding rates), then replication.</w:t>
      </w:r>
    </w:p>
    <w:p>
      <w:pPr>
        <w:pStyle w:val="BodyText"/>
      </w:pPr>
      <w:r>
        <w:rPr>
          <w:b/>
          <w:bCs/>
        </w:rPr>
        <w:t xml:space="preserve">1. Kangaroo Mother Care.</w:t>
      </w:r>
      <w:r>
        <w:t xml:space="preserve"> </w:t>
      </w:r>
      <w:r>
        <w:t xml:space="preserve">A 32% reduction in neonatal mortality — risk ratio (RR) 0.68 (0.53–0.87), 12 studies, 10,505 infants,</w:t>
      </w:r>
      <w:r>
        <w:t xml:space="preserve"> </w:t>
      </w:r>
      <w:r>
        <w:rPr>
          <w:b/>
          <w:bCs/>
        </w:rPr>
        <w:t xml:space="preserve">rated high certainty</w:t>
      </w:r>
      <w:r>
        <w:t xml:space="preserve">. This is the strongest single clinical result anywhere in this review, across all three interventions. It requires no commodity and no equipment, works in both facility and community settings, and drove WHO’s 2022 preterm-care guidelines.</w:t>
      </w:r>
    </w:p>
    <w:p>
      <w:pPr>
        <w:pStyle w:val="BodyText"/>
      </w:pPr>
      <w:r>
        <w:rPr>
          <w:b/>
          <w:bCs/>
        </w:rPr>
        <w:t xml:space="preserve">2. CHW-delivered postnatal home visits at 4–8 contacts.</w:t>
      </w:r>
      <w:r>
        <w:t xml:space="preserve"> </w:t>
      </w:r>
      <w:r>
        <w:t xml:space="preserve">Home-based postnatal care reduced neonatal mortality RR 0.76 (0.62–0.92) overall — but the benefit came from CHW-delivered visits (RR 0.69) and</w:t>
      </w:r>
      <w:r>
        <w:t xml:space="preserve"> </w:t>
      </w:r>
      <w:r>
        <w:rPr>
          <w:i/>
          <w:iCs/>
        </w:rPr>
        <w:t xml:space="preserve">not</w:t>
      </w:r>
      <w:r>
        <w:t xml:space="preserve"> </w:t>
      </w:r>
      <w:r>
        <w:t xml:space="preserve">from health-professional-delivered ones (RR 1.26). Effects are larger above 70% coverage and beyond three visits, and the flagship Cochrane review independently finds 4–8 contacts outperform fewer.</w:t>
      </w:r>
    </w:p>
    <w:p>
      <w:pPr>
        <w:pStyle w:val="BodyText"/>
      </w:pPr>
      <w:r>
        <w:rPr>
          <w:b/>
          <w:bCs/>
        </w:rPr>
        <w:t xml:space="preserve">3. Health-system strengthening for early initiation.</w:t>
      </w:r>
      <w:r>
        <w:t xml:space="preserve"> </w:t>
      </w:r>
      <w:r>
        <w:t xml:space="preserve">In South Asia, provider-facing health-system strengthening raised early initiation RR 2.76 (1.96–3.88) — nearly double the effect of behavioural interventions alone (RR 1.48). For this outcome, changing the platform beats changing the messaging.</w:t>
      </w:r>
    </w:p>
    <w:p>
      <w:pPr>
        <w:pStyle w:val="BodyText"/>
      </w:pPr>
      <w:r>
        <w:rPr>
          <w:b/>
          <w:bCs/>
        </w:rPr>
        <w:t xml:space="preserve">What sits just outside the top three:</w:t>
      </w:r>
      <w:r>
        <w:t xml:space="preserve"> </w:t>
      </w:r>
      <w:r>
        <w:t xml:space="preserve">peer support, which is unusually strong in low- and middle-income countries specifically (EBF RR 0.63 against 0.90 in high-income settings) and is the cheapest of the options.</w:t>
      </w:r>
    </w:p>
    <w:bookmarkEnd w:id="64"/>
    <w:bookmarkStart w:id="65" w:name="the-pivot-finding"/>
    <w:p>
      <w:pPr>
        <w:pStyle w:val="Heading2"/>
      </w:pPr>
      <w:r>
        <w:t xml:space="preserve">6.3 The pivot finding</w:t>
      </w:r>
    </w:p>
    <w:p>
      <w:pPr>
        <w:pStyle w:val="FirstParagraph"/>
      </w:pPr>
      <w:r>
        <w:t xml:space="preserve">The flagship Cochrane review — 116 trials, 98,816 mother-infant pairs, 42 countries — found that support reduces breastfeeding cessation whether delivered by professionals</w:t>
      </w:r>
      <w:r>
        <w:t xml:space="preserve"> </w:t>
      </w:r>
      <w:r>
        <w:rPr>
          <w:b/>
          <w:bCs/>
        </w:rPr>
        <w:t xml:space="preserve">or</w:t>
      </w:r>
      <w:r>
        <w:t xml:space="preserve"> </w:t>
      </w:r>
      <w:r>
        <w:t xml:space="preserve">by lay and peer supporters, that it is</w:t>
      </w:r>
      <w:r>
        <w:t xml:space="preserve"> </w:t>
      </w:r>
      <w:r>
        <w:rPr>
          <w:b/>
          <w:bCs/>
        </w:rPr>
        <w:t xml:space="preserve">more effective in low- and middle-income countries (LMICs) than in high-income countries</w:t>
      </w:r>
      <w:r>
        <w:t xml:space="preserve"> </w:t>
      </w:r>
      <w:r>
        <w:t xml:space="preserve">(meta-regression RR 1.15, 1.05–1.27), and that a moderate-intensity schedule of about</w:t>
      </w:r>
      <w:r>
        <w:t xml:space="preserve"> </w:t>
      </w:r>
      <w:r>
        <w:rPr>
          <w:b/>
          <w:bCs/>
        </w:rPr>
        <w:t xml:space="preserve">4–8 postnatal contacts outperforms low-intensity support</w:t>
      </w:r>
      <w:r>
        <w:t xml:space="preserve"> </w:t>
      </w:r>
      <w:r>
        <w:t xml:space="preserve">(RR 0.82, 0.70–0.95 for cessation of exclusive breastfeeding at 6 months). Its authors describe the remaining question as a scaling-up issue (PMID 36282618).</w:t>
      </w:r>
    </w:p>
    <w:p>
      <w:pPr>
        <w:pStyle w:val="BodyText"/>
      </w:pPr>
      <w:r>
        <w:t xml:space="preserve">That single result frames the whole chapter. Efficacy is not the open question;</w:t>
      </w:r>
      <w:r>
        <w:t xml:space="preserve"> </w:t>
      </w:r>
      <w:r>
        <w:rPr>
          <w:b/>
          <w:bCs/>
        </w:rPr>
        <w:t xml:space="preserve">contact dose and coverage are</w:t>
      </w:r>
      <w:r>
        <w:t xml:space="preserve">. This is the clearest corpus vindication of the steer partners gave at the outset.</w:t>
      </w:r>
    </w:p>
    <w:bookmarkEnd w:id="65"/>
    <w:bookmarkStart w:id="68" w:name="package-a-facility-based-support"/>
    <w:p>
      <w:pPr>
        <w:pStyle w:val="Heading2"/>
      </w:pPr>
      <w:r>
        <w:t xml:space="preserve">6.4 Package A — facility-based support</w:t>
      </w:r>
    </w:p>
    <w:bookmarkStart w:id="66" w:name="does-it-work-1"/>
    <w:p>
      <w:pPr>
        <w:pStyle w:val="Heading3"/>
      </w:pPr>
      <w:r>
        <w:t xml:space="preserve">Does it work?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Intervention</w:t>
            </w:r>
          </w:p>
        </w:tc>
        <w:tc>
          <w:tcPr/>
          <w:p>
            <w:pPr>
              <w:pStyle w:val="Compact"/>
            </w:pPr>
            <w:r>
              <w:t xml:space="preserve">Outcome</w:t>
            </w:r>
          </w:p>
        </w:tc>
        <w:tc>
          <w:tcPr/>
          <w:p>
            <w:pPr>
              <w:pStyle w:val="Compact"/>
            </w:pPr>
            <w:r>
              <w:t xml:space="preserve">Effect</w:t>
            </w:r>
          </w:p>
        </w:tc>
        <w:tc>
          <w:tcPr/>
          <w:p>
            <w:pPr>
              <w:pStyle w:val="Compact"/>
            </w:pPr>
            <w:r>
              <w:t xml:space="preserve">Evidence</w:t>
            </w:r>
          </w:p>
        </w:tc>
      </w:tr>
      <w:tr>
        <w:tc>
          <w:tcPr/>
          <w:p>
            <w:pPr>
              <w:pStyle w:val="Compact"/>
            </w:pPr>
            <w:r>
              <w:rPr>
                <w:b/>
                <w:bCs/>
              </w:rPr>
              <w:t xml:space="preserve">Kangaroo Mother Care</w:t>
            </w:r>
          </w:p>
        </w:tc>
        <w:tc>
          <w:tcPr/>
          <w:p>
            <w:pPr>
              <w:pStyle w:val="Compact"/>
            </w:pPr>
            <w:r>
              <w:t xml:space="preserve">Neonatal mortality</w:t>
            </w:r>
          </w:p>
        </w:tc>
        <w:tc>
          <w:tcPr/>
          <w:p>
            <w:pPr>
              <w:pStyle w:val="Compact"/>
            </w:pPr>
            <w:r>
              <w:rPr>
                <w:b/>
                <w:bCs/>
              </w:rPr>
              <w:t xml:space="preserve">RR 0.68 (0.53–0.87)</w:t>
            </w:r>
            <w:r>
              <w:t xml:space="preserve">, 12 studies, N=10,505,</w:t>
            </w:r>
            <w:r>
              <w:t xml:space="preserve"> </w:t>
            </w:r>
            <w:r>
              <w:rPr>
                <w:b/>
                <w:bCs/>
              </w:rPr>
              <w:t xml:space="preserve">high certainty</w:t>
            </w:r>
          </w:p>
        </w:tc>
        <w:tc>
          <w:tcPr/>
          <w:p>
            <w:pPr>
              <w:pStyle w:val="Compact"/>
            </w:pPr>
            <w:r>
              <w:t xml:space="preserve">DOI 10.1136/bmjgh-2022-010728</w:t>
            </w:r>
          </w:p>
        </w:tc>
      </w:tr>
      <w:tr>
        <w:tc>
          <w:tcPr/>
          <w:p>
            <w:pPr>
              <w:pStyle w:val="Compact"/>
            </w:pPr>
            <w:r>
              <w:t xml:space="preserve">Kangaroo Mother Care</w:t>
            </w:r>
          </w:p>
        </w:tc>
        <w:tc>
          <w:tcPr/>
          <w:p>
            <w:pPr>
              <w:pStyle w:val="Compact"/>
            </w:pPr>
            <w:r>
              <w:t xml:space="preserve">Severe infection</w:t>
            </w:r>
          </w:p>
        </w:tc>
        <w:tc>
          <w:tcPr/>
          <w:p>
            <w:pPr>
              <w:pStyle w:val="Compact"/>
            </w:pPr>
            <w:r>
              <w:t xml:space="preserve">RR 0.85 (0.79–0.92)</w:t>
            </w:r>
          </w:p>
        </w:tc>
        <w:tc>
          <w:tcPr/>
          <w:p>
            <w:pPr>
              <w:pStyle w:val="Compact"/>
            </w:pPr>
            <w:r>
              <w:t xml:space="preserve">DOI 10.1136/bmjgh-2022-010728</w:t>
            </w:r>
          </w:p>
        </w:tc>
      </w:tr>
      <w:tr>
        <w:tc>
          <w:tcPr/>
          <w:p>
            <w:pPr>
              <w:pStyle w:val="Compact"/>
            </w:pPr>
            <w:r>
              <w:t xml:space="preserve">Kangaroo Mother Care</w:t>
            </w:r>
          </w:p>
        </w:tc>
        <w:tc>
          <w:tcPr/>
          <w:p>
            <w:pPr>
              <w:pStyle w:val="Compact"/>
            </w:pPr>
            <w:r>
              <w:t xml:space="preserve">EBF at discharge</w:t>
            </w:r>
          </w:p>
        </w:tc>
        <w:tc>
          <w:tcPr/>
          <w:p>
            <w:pPr>
              <w:pStyle w:val="Compact"/>
            </w:pPr>
            <w:r>
              <w:t xml:space="preserve">RR 1.48 (1.44–1.52)</w:t>
            </w:r>
          </w:p>
        </w:tc>
        <w:tc>
          <w:tcPr/>
          <w:p>
            <w:pPr>
              <w:pStyle w:val="Compact"/>
            </w:pPr>
            <w:r>
              <w:t xml:space="preserve">DOI 10.1136/bmjgh-2022-010728</w:t>
            </w:r>
          </w:p>
        </w:tc>
      </w:tr>
      <w:tr>
        <w:tc>
          <w:tcPr/>
          <w:p>
            <w:pPr>
              <w:pStyle w:val="Compact"/>
            </w:pPr>
            <w:r>
              <w:t xml:space="preserve">Hospital-based KMC</w:t>
            </w:r>
          </w:p>
        </w:tc>
        <w:tc>
          <w:tcPr/>
          <w:p>
            <w:pPr>
              <w:pStyle w:val="Compact"/>
            </w:pPr>
            <w:r>
              <w:t xml:space="preserve">In-hospital mortality</w:t>
            </w:r>
          </w:p>
        </w:tc>
        <w:tc>
          <w:tcPr/>
          <w:p>
            <w:pPr>
              <w:pStyle w:val="Compact"/>
            </w:pPr>
            <w:r>
              <w:t xml:space="preserve">RR 0.79 (0.70–0.90); 28-day RR 0.81; 31 trials, N=8,561</w:t>
            </w:r>
          </w:p>
        </w:tc>
        <w:tc>
          <w:tcPr/>
          <w:p>
            <w:pPr>
              <w:pStyle w:val="Compact"/>
            </w:pPr>
            <w:r>
              <w:t xml:space="preserve">PMID 41613333</w:t>
            </w:r>
          </w:p>
        </w:tc>
      </w:tr>
      <w:tr>
        <w:tc>
          <w:tcPr/>
          <w:p>
            <w:pPr>
              <w:pStyle w:val="Compact"/>
            </w:pPr>
            <w:r>
              <w:t xml:space="preserve">Skin-to-skin contact</w:t>
            </w:r>
          </w:p>
        </w:tc>
        <w:tc>
          <w:tcPr/>
          <w:p>
            <w:pPr>
              <w:pStyle w:val="Compact"/>
            </w:pPr>
            <w:r>
              <w:t xml:space="preserve">EBF at discharge–1 month</w:t>
            </w:r>
          </w:p>
        </w:tc>
        <w:tc>
          <w:tcPr/>
          <w:p>
            <w:pPr>
              <w:pStyle w:val="Compact"/>
            </w:pPr>
            <w:r>
              <w:t xml:space="preserve">RR 1.36 (1.19–1.56)</w:t>
            </w:r>
          </w:p>
        </w:tc>
        <w:tc>
          <w:tcPr/>
          <w:p>
            <w:pPr>
              <w:pStyle w:val="Compact"/>
            </w:pPr>
            <w:r>
              <w:t xml:space="preserve">PMID 41120189</w:t>
            </w:r>
          </w:p>
        </w:tc>
      </w:tr>
      <w:tr>
        <w:tc>
          <w:tcPr/>
          <w:p>
            <w:pPr>
              <w:pStyle w:val="Compact"/>
            </w:pPr>
            <w:r>
              <w:t xml:space="preserve">Skin-to-skin contact</w:t>
            </w:r>
          </w:p>
        </w:tc>
        <w:tc>
          <w:tcPr/>
          <w:p>
            <w:pPr>
              <w:pStyle w:val="Compact"/>
            </w:pPr>
            <w:r>
              <w:t xml:space="preserve">EBF at 6 weeks–6 months</w:t>
            </w:r>
          </w:p>
        </w:tc>
        <w:tc>
          <w:tcPr/>
          <w:p>
            <w:pPr>
              <w:pStyle w:val="Compact"/>
            </w:pPr>
            <w:r>
              <w:t xml:space="preserve">RR 1.38 (1.09–1.74)</w:t>
            </w:r>
          </w:p>
        </w:tc>
        <w:tc>
          <w:tcPr/>
          <w:p>
            <w:pPr>
              <w:pStyle w:val="Compact"/>
            </w:pPr>
            <w:r>
              <w:t xml:space="preserve">PMID 41120189</w:t>
            </w:r>
          </w:p>
        </w:tc>
      </w:tr>
      <w:tr>
        <w:tc>
          <w:tcPr/>
          <w:p>
            <w:pPr>
              <w:pStyle w:val="Compact"/>
            </w:pPr>
            <w:r>
              <w:t xml:space="preserve">Health-system strengthening (South Asia)</w:t>
            </w:r>
          </w:p>
        </w:tc>
        <w:tc>
          <w:tcPr/>
          <w:p>
            <w:pPr>
              <w:pStyle w:val="Compact"/>
            </w:pPr>
            <w:r>
              <w:t xml:space="preserve">Early initiation</w:t>
            </w:r>
          </w:p>
        </w:tc>
        <w:tc>
          <w:tcPr/>
          <w:p>
            <w:pPr>
              <w:pStyle w:val="Compact"/>
            </w:pPr>
            <w:r>
              <w:rPr>
                <w:b/>
                <w:bCs/>
              </w:rPr>
              <w:t xml:space="preserve">RR 2.76 (1.96–3.88)</w:t>
            </w:r>
          </w:p>
        </w:tc>
        <w:tc>
          <w:tcPr/>
          <w:p>
            <w:pPr>
              <w:pStyle w:val="Compact"/>
            </w:pPr>
            <w:r>
              <w:t xml:space="preserve">PMID 40426155</w:t>
            </w:r>
          </w:p>
        </w:tc>
      </w:tr>
      <w:tr>
        <w:tc>
          <w:tcPr/>
          <w:p>
            <w:pPr>
              <w:pStyle w:val="Compact"/>
            </w:pPr>
            <w:r>
              <w:t xml:space="preserve">Behavioural interventions (South Asia)</w:t>
            </w:r>
          </w:p>
        </w:tc>
        <w:tc>
          <w:tcPr/>
          <w:p>
            <w:pPr>
              <w:pStyle w:val="Compact"/>
            </w:pPr>
            <w:r>
              <w:t xml:space="preserve">Early initiation</w:t>
            </w:r>
          </w:p>
        </w:tc>
        <w:tc>
          <w:tcPr/>
          <w:p>
            <w:pPr>
              <w:pStyle w:val="Compact"/>
            </w:pPr>
            <w:r>
              <w:t xml:space="preserve">RR 1.48</w:t>
            </w:r>
          </w:p>
        </w:tc>
        <w:tc>
          <w:tcPr/>
          <w:p>
            <w:pPr>
              <w:pStyle w:val="Compact"/>
            </w:pPr>
            <w:r>
              <w:t xml:space="preserve">PMID 40426155</w:t>
            </w:r>
          </w:p>
        </w:tc>
      </w:tr>
    </w:tbl>
    <w:p>
      <w:pPr>
        <w:pStyle w:val="BodyText"/>
      </w:pPr>
      <w:r>
        <w:rPr>
          <w:b/>
          <w:bCs/>
        </w:rPr>
        <w:t xml:space="preserve">Kangaroo Mother Care is the strongest single clinical result in this review.</w:t>
      </w:r>
      <w:r>
        <w:t xml:space="preserve"> </w:t>
      </w:r>
      <w:r>
        <w:t xml:space="preserve">It is anchored by the WHO immediate-KMC trial, where continuous skin-to-skin plus exclusive breastfeeding initiated</w:t>
      </w:r>
      <w:r>
        <w:t xml:space="preserve"> </w:t>
      </w:r>
      <w:r>
        <w:rPr>
          <w:i/>
          <w:iCs/>
        </w:rPr>
        <w:t xml:space="preserve">before</w:t>
      </w:r>
      <w:r>
        <w:t xml:space="preserve"> </w:t>
      </w:r>
      <w:r>
        <w:t xml:space="preserve">stabilisation reduced neonatal mortality (DOI 10.1056/nejmoa2026486). The benefit is dose-dependent above roughly eight hours a day, and it drove WHO’s 2022 preterm-care guidelines and a Global Position Paper calling for newborn care to be reorganised around KMC (DOI 10.1016/s0140-6736(23)01000-0).</w:t>
      </w:r>
    </w:p>
    <w:p>
      <w:pPr>
        <w:pStyle w:val="BodyText"/>
      </w:pPr>
      <w:r>
        <w:t xml:space="preserve">Note the contrast in the last two rows:</w:t>
      </w:r>
      <w:r>
        <w:t xml:space="preserve"> </w:t>
      </w:r>
      <w:r>
        <w:rPr>
          <w:b/>
          <w:bCs/>
        </w:rPr>
        <w:t xml:space="preserve">strengthening the health system produced nearly twice the early-initiation effect of behavioural intervention.</w:t>
      </w:r>
      <w:r>
        <w:t xml:space="preserve"> </w:t>
      </w:r>
      <w:r>
        <w:t xml:space="preserve">For this package, the platform matters more than the messaging.</w:t>
      </w:r>
    </w:p>
    <w:bookmarkEnd w:id="66"/>
    <w:bookmarkStart w:id="67" w:name="can-we-scale-it"/>
    <w:p>
      <w:pPr>
        <w:pStyle w:val="Heading3"/>
      </w:pPr>
      <w:r>
        <w:t xml:space="preserve">Can we scale it?</w:t>
      </w:r>
    </w:p>
    <w:p>
      <w:pPr>
        <w:pStyle w:val="FirstParagraph"/>
      </w:pPr>
      <w:r>
        <w:t xml:space="preserve">This is where the facility package is weak, and the weakness is coverage rather than evidence. Fewer than 4% of African deliveries occur in BFHI-designated hospitals, and only about 60% occur in any facility at all (PMID 39764605). KMC scale-up is slow and infrastructure-sensitive — constrained by neonatal intensive care unit space, staffing and gender norms (PMID 41602019, 26818943) — and immediate-KMC readiness requires major, variable investment (PMID 37301974). Across 12 countries, the most common significant bottlenecks were health financing, community ownership, and service delivery, each flagged by 10 of 12, followed by leadership and workforce at 9 of 12 (PMID 26391115). Coverage data are themselves scarce: only 44% of 75 priority countries reported having a national KMC policy.</w:t>
      </w:r>
    </w:p>
    <w:p>
      <w:pPr>
        <w:pStyle w:val="BodyText"/>
      </w:pPr>
      <w:r>
        <w:rPr>
          <w:b/>
          <w:bCs/>
        </w:rPr>
        <w:t xml:space="preserve">Summary: strong efficacy including mortality, wide coverage gap.</w:t>
      </w:r>
    </w:p>
    <w:bookmarkEnd w:id="67"/>
    <w:bookmarkEnd w:id="68"/>
    <w:bookmarkStart w:id="71" w:name="Xeddbf3c5e389432706917092cb9922aaa22594e"/>
    <w:p>
      <w:pPr>
        <w:pStyle w:val="Heading2"/>
      </w:pPr>
      <w:r>
        <w:t xml:space="preserve">6.5 Package B — community and postnatal counselling</w:t>
      </w:r>
    </w:p>
    <w:bookmarkStart w:id="69" w:name="does-it-work-2"/>
    <w:p>
      <w:pPr>
        <w:pStyle w:val="Heading3"/>
      </w:pPr>
      <w:r>
        <w:t xml:space="preserve">Does it work?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Intervention</w:t>
            </w:r>
          </w:p>
        </w:tc>
        <w:tc>
          <w:tcPr/>
          <w:p>
            <w:pPr>
              <w:pStyle w:val="Compact"/>
            </w:pPr>
            <w:r>
              <w:t xml:space="preserve">Outcome</w:t>
            </w:r>
          </w:p>
        </w:tc>
        <w:tc>
          <w:tcPr/>
          <w:p>
            <w:pPr>
              <w:pStyle w:val="Compact"/>
            </w:pPr>
            <w:r>
              <w:t xml:space="preserve">Effect</w:t>
            </w:r>
          </w:p>
        </w:tc>
        <w:tc>
          <w:tcPr/>
          <w:p>
            <w:pPr>
              <w:pStyle w:val="Compact"/>
            </w:pPr>
            <w:r>
              <w:t xml:space="preserve">Evidence</w:t>
            </w:r>
          </w:p>
        </w:tc>
      </w:tr>
      <w:tr>
        <w:tc>
          <w:tcPr/>
          <w:p>
            <w:pPr>
              <w:pStyle w:val="Compact"/>
            </w:pPr>
            <w:r>
              <w:t xml:space="preserve">Home-based postnatal care</w:t>
            </w:r>
          </w:p>
        </w:tc>
        <w:tc>
          <w:tcPr/>
          <w:p>
            <w:pPr>
              <w:pStyle w:val="Compact"/>
            </w:pPr>
            <w:r>
              <w:t xml:space="preserve">Neonatal mortality</w:t>
            </w:r>
          </w:p>
        </w:tc>
        <w:tc>
          <w:tcPr/>
          <w:p>
            <w:pPr>
              <w:pStyle w:val="Compact"/>
            </w:pPr>
            <w:r>
              <w:t xml:space="preserve">RR 0.76 (0.62–0.92)</w:t>
            </w:r>
          </w:p>
        </w:tc>
        <w:tc>
          <w:tcPr/>
          <w:p>
            <w:pPr>
              <w:pStyle w:val="Compact"/>
            </w:pPr>
            <w:r>
              <w:t xml:space="preserve">PMID 31852432</w:t>
            </w:r>
          </w:p>
        </w:tc>
      </w:tr>
      <w:tr>
        <w:tc>
          <w:tcPr/>
          <w:p>
            <w:pPr>
              <w:pStyle w:val="Compact"/>
            </w:pPr>
            <w:r>
              <w:t xml:space="preserve">— delivered by</w:t>
            </w:r>
            <w:r>
              <w:t xml:space="preserve"> </w:t>
            </w:r>
            <w:r>
              <w:rPr>
                <w:b/>
                <w:bCs/>
              </w:rPr>
              <w:t xml:space="preserve">CHWs</w:t>
            </w:r>
          </w:p>
        </w:tc>
        <w:tc>
          <w:tcPr/>
          <w:p>
            <w:pPr>
              <w:pStyle w:val="Compact"/>
            </w:pPr>
            <w:r>
              <w:t xml:space="preserve">Neonatal mortality</w:t>
            </w:r>
          </w:p>
        </w:tc>
        <w:tc>
          <w:tcPr/>
          <w:p>
            <w:pPr>
              <w:pStyle w:val="Compact"/>
            </w:pPr>
            <w:r>
              <w:rPr>
                <w:b/>
                <w:bCs/>
              </w:rPr>
              <w:t xml:space="preserve">RR 0.69</w:t>
            </w:r>
          </w:p>
        </w:tc>
        <w:tc>
          <w:tcPr/>
          <w:p>
            <w:pPr>
              <w:pStyle w:val="Compact"/>
            </w:pPr>
            <w:r>
              <w:t xml:space="preserve">PMID 31852432</w:t>
            </w:r>
          </w:p>
        </w:tc>
      </w:tr>
      <w:tr>
        <w:tc>
          <w:tcPr/>
          <w:p>
            <w:pPr>
              <w:pStyle w:val="Compact"/>
            </w:pPr>
            <w:r>
              <w:t xml:space="preserve">— delivered by health professionals</w:t>
            </w:r>
          </w:p>
        </w:tc>
        <w:tc>
          <w:tcPr/>
          <w:p>
            <w:pPr>
              <w:pStyle w:val="Compact"/>
            </w:pPr>
            <w:r>
              <w:t xml:space="preserve">Neonatal mortality</w:t>
            </w:r>
          </w:p>
        </w:tc>
        <w:tc>
          <w:tcPr/>
          <w:p>
            <w:pPr>
              <w:pStyle w:val="Compact"/>
            </w:pPr>
            <w:r>
              <w:t xml:space="preserve">RR 1.26 (no benefit)</w:t>
            </w:r>
          </w:p>
        </w:tc>
        <w:tc>
          <w:tcPr/>
          <w:p>
            <w:pPr>
              <w:pStyle w:val="Compact"/>
            </w:pPr>
            <w:r>
              <w:t xml:space="preserve">PMID 31852432</w:t>
            </w:r>
          </w:p>
        </w:tc>
      </w:tr>
      <w:tr>
        <w:tc>
          <w:tcPr/>
          <w:p>
            <w:pPr>
              <w:pStyle w:val="Compact"/>
            </w:pPr>
            <w:r>
              <w:t xml:space="preserve">Home-based postnatal care</w:t>
            </w:r>
          </w:p>
        </w:tc>
        <w:tc>
          <w:tcPr/>
          <w:p>
            <w:pPr>
              <w:pStyle w:val="Compact"/>
            </w:pPr>
            <w:r>
              <w:t xml:space="preserve">Exclusive breastfeeding</w:t>
            </w:r>
          </w:p>
        </w:tc>
        <w:tc>
          <w:tcPr/>
          <w:p>
            <w:pPr>
              <w:pStyle w:val="Compact"/>
            </w:pPr>
            <w:r>
              <w:t xml:space="preserve">Odds ratio (OR) 2.88 (1.57–5.29); OR 4.06 above 70% coverage</w:t>
            </w:r>
          </w:p>
        </w:tc>
        <w:tc>
          <w:tcPr/>
          <w:p>
            <w:pPr>
              <w:pStyle w:val="Compact"/>
            </w:pPr>
            <w:r>
              <w:t xml:space="preserve">PMID 31852432</w:t>
            </w:r>
          </w:p>
        </w:tc>
      </w:tr>
      <w:tr>
        <w:tc>
          <w:tcPr/>
          <w:p>
            <w:pPr>
              <w:pStyle w:val="Compact"/>
            </w:pPr>
            <w:r>
              <w:t xml:space="preserve">Peer support</w:t>
            </w:r>
          </w:p>
        </w:tc>
        <w:tc>
          <w:tcPr/>
          <w:p>
            <w:pPr>
              <w:pStyle w:val="Compact"/>
            </w:pPr>
            <w:r>
              <w:t xml:space="preserve">Any breastfeeding</w:t>
            </w:r>
          </w:p>
        </w:tc>
        <w:tc>
          <w:tcPr/>
          <w:p>
            <w:pPr>
              <w:pStyle w:val="Compact"/>
            </w:pPr>
            <w:r>
              <w:t xml:space="preserve">RR 0.85 (0.77–0.94);</w:t>
            </w:r>
            <w:r>
              <w:t xml:space="preserve"> </w:t>
            </w:r>
            <w:r>
              <w:rPr>
                <w:b/>
                <w:bCs/>
              </w:rPr>
              <w:t xml:space="preserve">LMIC RR 0.70</w:t>
            </w:r>
          </w:p>
        </w:tc>
        <w:tc>
          <w:tcPr/>
          <w:p>
            <w:pPr>
              <w:pStyle w:val="Compact"/>
            </w:pPr>
            <w:r>
              <w:t xml:space="preserve">PMID 22277543</w:t>
            </w:r>
          </w:p>
        </w:tc>
      </w:tr>
      <w:tr>
        <w:tc>
          <w:tcPr/>
          <w:p>
            <w:pPr>
              <w:pStyle w:val="Compact"/>
            </w:pPr>
            <w:r>
              <w:t xml:space="preserve">Peer support</w:t>
            </w:r>
          </w:p>
        </w:tc>
        <w:tc>
          <w:tcPr/>
          <w:p>
            <w:pPr>
              <w:pStyle w:val="Compact"/>
            </w:pPr>
            <w:r>
              <w:t xml:space="preserve">Exclusive breastfeeding</w:t>
            </w:r>
          </w:p>
        </w:tc>
        <w:tc>
          <w:tcPr/>
          <w:p>
            <w:pPr>
              <w:pStyle w:val="Compact"/>
            </w:pPr>
            <w:r>
              <w:t xml:space="preserve">RR 0.82 (0.76–0.88);</w:t>
            </w:r>
            <w:r>
              <w:t xml:space="preserve"> </w:t>
            </w:r>
            <w:r>
              <w:rPr>
                <w:b/>
                <w:bCs/>
              </w:rPr>
              <w:t xml:space="preserve">LMIC RR 0.63</w:t>
            </w:r>
            <w:r>
              <w:t xml:space="preserve">, high-income 0.90</w:t>
            </w:r>
          </w:p>
        </w:tc>
        <w:tc>
          <w:tcPr/>
          <w:p>
            <w:pPr>
              <w:pStyle w:val="Compact"/>
            </w:pPr>
            <w:r>
              <w:t xml:space="preserve">PMID 22277543</w:t>
            </w:r>
          </w:p>
        </w:tc>
      </w:tr>
      <w:tr>
        <w:tc>
          <w:tcPr/>
          <w:p>
            <w:pPr>
              <w:pStyle w:val="Compact"/>
            </w:pPr>
            <w:r>
              <w:t xml:space="preserve">Ancillary nurse-midwife packages</w:t>
            </w:r>
          </w:p>
        </w:tc>
        <w:tc>
          <w:tcPr/>
          <w:p>
            <w:pPr>
              <w:pStyle w:val="Compact"/>
            </w:pPr>
            <w:r>
              <w:t xml:space="preserve">Early initiation</w:t>
            </w:r>
          </w:p>
        </w:tc>
        <w:tc>
          <w:tcPr/>
          <w:p>
            <w:pPr>
              <w:pStyle w:val="Compact"/>
            </w:pPr>
            <w:r>
              <w:t xml:space="preserve">RR 1.93 (1.55–2.39), N=72,464</w:t>
            </w:r>
          </w:p>
        </w:tc>
        <w:tc>
          <w:tcPr/>
          <w:p>
            <w:pPr>
              <w:pStyle w:val="Compact"/>
            </w:pPr>
            <w:r>
              <w:t xml:space="preserve">PMID 36761137</w:t>
            </w:r>
          </w:p>
        </w:tc>
      </w:tr>
      <w:tr>
        <w:tc>
          <w:tcPr/>
          <w:p>
            <w:pPr>
              <w:pStyle w:val="Compact"/>
            </w:pPr>
            <w:r>
              <w:t xml:space="preserve">Community health education</w:t>
            </w:r>
          </w:p>
        </w:tc>
        <w:tc>
          <w:tcPr/>
          <w:p>
            <w:pPr>
              <w:pStyle w:val="Compact"/>
            </w:pPr>
            <w:r>
              <w:t xml:space="preserve">Early initiation</w:t>
            </w:r>
          </w:p>
        </w:tc>
        <w:tc>
          <w:tcPr/>
          <w:p>
            <w:pPr>
              <w:pStyle w:val="Compact"/>
            </w:pPr>
            <w:r>
              <w:t xml:space="preserve">RR 1.56 (1.37–1.77)</w:t>
            </w:r>
          </w:p>
        </w:tc>
        <w:tc>
          <w:tcPr/>
          <w:p>
            <w:pPr>
              <w:pStyle w:val="Compact"/>
            </w:pPr>
            <w:r>
              <w:t xml:space="preserve">PMID 36761137</w:t>
            </w:r>
          </w:p>
        </w:tc>
      </w:tr>
      <w:tr>
        <w:tc>
          <w:tcPr/>
          <w:p>
            <w:pPr>
              <w:pStyle w:val="Compact"/>
            </w:pPr>
            <w:r>
              <w:t xml:space="preserve">Mobile-phone (mHealth) support</w:t>
            </w:r>
          </w:p>
        </w:tc>
        <w:tc>
          <w:tcPr/>
          <w:p>
            <w:pPr>
              <w:pStyle w:val="Compact"/>
            </w:pPr>
            <w:r>
              <w:t xml:space="preserve">EBF at 5–6 months</w:t>
            </w:r>
          </w:p>
        </w:tc>
        <w:tc>
          <w:tcPr/>
          <w:p>
            <w:pPr>
              <w:pStyle w:val="Compact"/>
            </w:pPr>
            <w:r>
              <w:t xml:space="preserve">OR 1.74 (1.34–2.29), 22 LMIC studies</w:t>
            </w:r>
          </w:p>
        </w:tc>
        <w:tc>
          <w:tcPr/>
          <w:p>
            <w:pPr>
              <w:pStyle w:val="Compact"/>
            </w:pPr>
            <w:r>
              <w:t xml:space="preserve">PMID 41742073</w:t>
            </w:r>
          </w:p>
        </w:tc>
      </w:tr>
    </w:tbl>
    <w:p>
      <w:pPr>
        <w:pStyle w:val="BodyText"/>
      </w:pPr>
      <w:r>
        <w:t xml:space="preserve">Two features stand out.</w:t>
      </w:r>
      <w:r>
        <w:t xml:space="preserve"> </w:t>
      </w:r>
      <w:r>
        <w:rPr>
          <w:b/>
          <w:bCs/>
        </w:rPr>
        <w:t xml:space="preserve">The mortality benefit is CHW-specific</w:t>
      </w:r>
      <w:r>
        <w:t xml:space="preserve"> </w:t>
      </w:r>
      <w:r>
        <w:t xml:space="preserve">— home visits by community health workers reduced neonatal mortality while visits by health professionals did not, and effects were larger above 70% coverage and beyond three visits. And</w:t>
      </w:r>
      <w:r>
        <w:t xml:space="preserve"> </w:t>
      </w:r>
      <w:r>
        <w:rPr>
          <w:b/>
          <w:bCs/>
        </w:rPr>
        <w:t xml:space="preserve">peer support is markedly stronger in LMICs than in high-income settings</w:t>
      </w:r>
      <w:r>
        <w:t xml:space="preserve">, which is unusual and directly relevant to a co-design in this context.</w:t>
      </w:r>
    </w:p>
    <w:p>
      <w:pPr>
        <w:pStyle w:val="BodyText"/>
      </w:pPr>
      <w:r>
        <w:t xml:space="preserve">Breastfeeding support packages in LMICs were positive in 58% of comparisons, with promotion (80%) outperforming education (55%) (PMID 33672692). mHealth works but concentrates its benefit among wealthier, urban and more educated women, and one-way messaging is ineffective (PMID 41742073).</w:t>
      </w:r>
    </w:p>
    <w:bookmarkEnd w:id="69"/>
    <w:bookmarkStart w:id="70" w:name="can-we-scale-it-1"/>
    <w:p>
      <w:pPr>
        <w:pStyle w:val="Heading3"/>
      </w:pPr>
      <w:r>
        <w:t xml:space="preserve">Can we scale it?</w:t>
      </w:r>
    </w:p>
    <w:p>
      <w:pPr>
        <w:pStyle w:val="FirstParagraph"/>
      </w:pPr>
      <w:r>
        <w:t xml:space="preserve">The strengths are LMIC effectiveness, distal reach through neonatal survival, and a clear dose-response on contacts. The weakness is fidelity documentation: only 5 of 17 peer-support trials reported the number of contacts actually received (PMID 22277543), so</w:t>
      </w:r>
      <w:r>
        <w:t xml:space="preserve"> </w:t>
      </w:r>
      <w:r>
        <w:t xml:space="preserve">“4–8 contacts”</w:t>
      </w:r>
      <w:r>
        <w:t xml:space="preserve"> </w:t>
      </w:r>
      <w:r>
        <w:t xml:space="preserve">is a target the literature can specify but rarely verifies. Platforms exist — Ethiopia’s Women’s Development Army delivered structured</w:t>
      </w:r>
      <w:r>
        <w:t xml:space="preserve"> </w:t>
      </w:r>
      <w:r>
        <w:rPr>
          <w:b/>
          <w:bCs/>
        </w:rPr>
        <w:t xml:space="preserve">infant and young child feeding (IYCF)</w:t>
      </w:r>
      <w:r>
        <w:t xml:space="preserve"> </w:t>
      </w:r>
      <w:r>
        <w:t xml:space="preserve">counselling at two prenatal and eight postnatal home visits after five days of training (PMID 30257661).</w:t>
      </w:r>
    </w:p>
    <w:bookmarkEnd w:id="70"/>
    <w:bookmarkEnd w:id="71"/>
    <w:bookmarkStart w:id="72" w:name="which-package-is-stronger"/>
    <w:p>
      <w:pPr>
        <w:pStyle w:val="Heading2"/>
      </w:pPr>
      <w:r>
        <w:t xml:space="preserve">6.6 Which package is stronger?</w:t>
      </w:r>
    </w:p>
    <w:p>
      <w:pPr>
        <w:pStyle w:val="FirstParagraph"/>
      </w:pPr>
      <w:r>
        <w:t xml:space="preserve">This was partners’ central question. The evidence does not support choosing.</w:t>
      </w:r>
    </w:p>
    <w:p>
      <w:pPr>
        <w:pStyle w:val="BodyText"/>
      </w:pPr>
      <w:r>
        <w:rPr>
          <w:b/>
          <w:bCs/>
        </w:rPr>
        <w:t xml:space="preserve">Package A is stronger than an interim read suggested.</w:t>
      </w:r>
      <w:r>
        <w:t xml:space="preserve"> </w:t>
      </w:r>
      <w:r>
        <w:t xml:space="preserve">It carries both a high-certainty</w:t>
      </w:r>
      <w:r>
        <w:t xml:space="preserve"> </w:t>
      </w:r>
      <w:r>
        <w:rPr>
          <w:i/>
          <w:iCs/>
        </w:rPr>
        <w:t xml:space="preserve">mortality</w:t>
      </w:r>
      <w:r>
        <w:t xml:space="preserve"> </w:t>
      </w:r>
      <w:r>
        <w:t xml:space="preserve">intervention (KMC, RR 0.68) and proximal exclusive-breastfeeding gains (skin-to-skin, RR 1.36), and health-system strengthening produces the single largest early-initiation effect in the corpus (RR 2.76). Its gap is coverage, not evidence.</w:t>
      </w:r>
    </w:p>
    <w:p>
      <w:pPr>
        <w:pStyle w:val="BodyText"/>
      </w:pPr>
      <w:r>
        <w:rPr>
          <w:b/>
          <w:bCs/>
        </w:rPr>
        <w:t xml:space="preserve">Package B carries the stronger LMIC-specific continuation signal</w:t>
      </w:r>
      <w:r>
        <w:t xml:space="preserve"> </w:t>
      </w:r>
      <w:r>
        <w:t xml:space="preserve">(peer support, exclusive breastfeeding RR 0.63) and the CHW-delivered survival benefit — both coverage- and dose-dependent.</w:t>
      </w:r>
    </w:p>
    <w:p>
      <w:pPr>
        <w:pStyle w:val="BodyText"/>
      </w:pPr>
      <w:r>
        <w:rPr>
          <w:b/>
          <w:bCs/>
        </w:rPr>
        <w:t xml:space="preserve">They are complementary rather than competing.</w:t>
      </w:r>
      <w:r>
        <w:t xml:space="preserve"> </w:t>
      </w:r>
      <w:r>
        <w:t xml:space="preserve">That claim needs spelling out, because</w:t>
      </w:r>
      <w:r>
        <w:t xml:space="preserve"> </w:t>
      </w:r>
      <w:r>
        <w:t xml:space="preserve">“both are good”</w:t>
      </w:r>
      <w:r>
        <w:t xml:space="preserve"> </w:t>
      </w:r>
      <w:r>
        <w:t xml:space="preserve">is not an argument. The case rests on four specific things the evidence shows:</w:t>
      </w:r>
    </w:p>
    <w:p>
      <w:pPr>
        <w:numPr>
          <w:ilvl w:val="0"/>
          <w:numId w:val="1010"/>
        </w:numPr>
      </w:pPr>
      <w:r>
        <w:rPr>
          <w:b/>
          <w:bCs/>
        </w:rPr>
        <w:t xml:space="preserve">They act at different moments, so they do not compete for the same contact.</w:t>
      </w:r>
      <w:r>
        <w:t xml:space="preserve"> </w:t>
      </w:r>
      <w:r>
        <w:t xml:space="preserve">The facility package operates at birth and in the days around it; the community package operates in the weeks after discharge. A mother can receive both, and in a functioning system she would.</w:t>
      </w:r>
    </w:p>
    <w:p>
      <w:pPr>
        <w:numPr>
          <w:ilvl w:val="0"/>
          <w:numId w:val="1010"/>
        </w:numPr>
      </w:pPr>
      <w:r>
        <w:rPr>
          <w:b/>
          <w:bCs/>
        </w:rPr>
        <w:t xml:space="preserve">They deliver different outcomes.</w:t>
      </w:r>
      <w:r>
        <w:t xml:space="preserve"> </w:t>
      </w:r>
      <w:r>
        <w:t xml:space="preserve">The facility package supplies the</w:t>
      </w:r>
      <w:r>
        <w:t xml:space="preserve"> </w:t>
      </w:r>
      <w:r>
        <w:rPr>
          <w:i/>
          <w:iCs/>
        </w:rPr>
        <w:t xml:space="preserve">mortality</w:t>
      </w:r>
      <w:r>
        <w:t xml:space="preserve"> </w:t>
      </w:r>
      <w:r>
        <w:t xml:space="preserve">intervention — Kangaroo Mother Care, RR 0.68 — and the initiation moment. The community package supplies</w:t>
      </w:r>
      <w:r>
        <w:t xml:space="preserve"> </w:t>
      </w:r>
      <w:r>
        <w:rPr>
          <w:i/>
          <w:iCs/>
        </w:rPr>
        <w:t xml:space="preserve">continuation</w:t>
      </w:r>
      <w:r>
        <w:t xml:space="preserve">: the repeated contacts that keep exclusive breastfeeding going to six months, where the flagship review shows 4–8 contacts outperform fewer. Neither substitutes for the other, because neither produces the other’s outcome.</w:t>
      </w:r>
    </w:p>
    <w:p>
      <w:pPr>
        <w:numPr>
          <w:ilvl w:val="0"/>
          <w:numId w:val="1010"/>
        </w:numPr>
      </w:pPr>
      <w:r>
        <w:rPr>
          <w:b/>
          <w:bCs/>
        </w:rPr>
        <w:t xml:space="preserve">Each is demonstrably insufficient alone.</w:t>
      </w:r>
      <w:r>
        <w:t xml:space="preserve"> </w:t>
      </w:r>
      <w:r>
        <w:t xml:space="preserve">The facility package has excellent efficacy but reaches few women — under 4% of African deliveries occur in a Baby-Friendly-designated hospital, and about 40% occur outside any facility. The community package has the stronger LMIC continuation effect but is dose-dependent, and its benefit falls away below roughly 70% coverage and three visits. A facility-only design reaches too few; a community-only design forgoes the mortality intervention and the birth-moment contact.</w:t>
      </w:r>
    </w:p>
    <w:p>
      <w:pPr>
        <w:numPr>
          <w:ilvl w:val="0"/>
          <w:numId w:val="1010"/>
        </w:numPr>
      </w:pPr>
      <w:r>
        <w:rPr>
          <w:b/>
          <w:bCs/>
        </w:rPr>
        <w:t xml:space="preserve">The strongest single intervention works in both settings, so the channel is not the choice.</w:t>
      </w:r>
      <w:r>
        <w:t xml:space="preserve"> </w:t>
      </w:r>
      <w:r>
        <w:t xml:space="preserve">Kangaroo Mother Care reduced mortality when initiated in facilities (RR 0.62)</w:t>
      </w:r>
      <w:r>
        <w:t xml:space="preserve"> </w:t>
      </w:r>
      <w:r>
        <w:rPr>
          <w:i/>
          <w:iCs/>
        </w:rPr>
        <w:t xml:space="preserve">and</w:t>
      </w:r>
      <w:r>
        <w:t xml:space="preserve"> </w:t>
      </w:r>
      <w:r>
        <w:t xml:space="preserve">when initiated in communities (RR 0.71) (DOI 10.1136/bmjgh-2022-010728). If the mortality benefit travelled with only one channel, that channel would be the answer. It does not, so the question shifts from</w:t>
      </w:r>
      <w:r>
        <w:t xml:space="preserve"> </w:t>
      </w:r>
      <w:r>
        <w:t xml:space="preserve">“which channel”</w:t>
      </w:r>
      <w:r>
        <w:t xml:space="preserve"> </w:t>
      </w:r>
      <w:r>
        <w:t xml:space="preserve">to</w:t>
      </w:r>
      <w:r>
        <w:t xml:space="preserve"> </w:t>
      </w:r>
      <w:r>
        <w:t xml:space="preserve">“how do the two connect”</w:t>
      </w:r>
      <w:r>
        <w:t xml:space="preserve">.</w:t>
      </w:r>
    </w:p>
    <w:p>
      <w:pPr>
        <w:pStyle w:val="FirstParagraph"/>
      </w:pPr>
      <w:r>
        <w:rPr>
          <w:b/>
          <w:bCs/>
        </w:rPr>
        <w:t xml:space="preserve">The configuration that follows:</w:t>
      </w:r>
      <w:r>
        <w:t xml:space="preserve"> </w:t>
      </w:r>
      <w:r>
        <w:rPr>
          <w:i/>
          <w:iCs/>
        </w:rPr>
        <w:t xml:space="preserve">Kangaroo Mother Care and skin-to-skin plus early initiation anchored at the facility, followed by CHW-delivered postnatal counselling at 4–8 contacts in the community.</w:t>
      </w:r>
      <w:r>
        <w:t xml:space="preserve"> </w:t>
      </w:r>
      <w:r>
        <w:t xml:space="preserve">It is set out as Option A in §3.6.</w:t>
      </w:r>
    </w:p>
    <w:p>
      <w:pPr>
        <w:pStyle w:val="BodyText"/>
      </w:pPr>
      <w:r>
        <w:t xml:space="preserve">The practical risk in this design is the handover between the two — a mother discharged without a scheduled community contact falls out of the package entirely. The corpus does not test that handover directly, which is a gap worth naming rather than glossing.</w:t>
      </w:r>
    </w:p>
    <w:p>
      <w:pPr>
        <w:pStyle w:val="BodyText"/>
      </w:pPr>
      <w:r>
        <w:t xml:space="preserve">One country-level observation cuts against assuming facilities are always the stronger channel: in Nepal, exclusive breastfeeding was substantially higher in community-set studies (57.8%) than facility-set ones (30.1%) (PMID 37269619).</w:t>
      </w:r>
    </w:p>
    <w:bookmarkEnd w:id="72"/>
    <w:bookmarkStart w:id="73" w:name="X28ab2a944d62f4152e67374b5040cf4d33c23ca"/>
    <w:p>
      <w:pPr>
        <w:pStyle w:val="Heading2"/>
      </w:pPr>
      <w:r>
        <w:t xml:space="preserve">6.7 Combining breastfeeding support with other interventions</w:t>
      </w:r>
    </w:p>
    <w:p>
      <w:pPr>
        <w:pStyle w:val="FirstParagraph"/>
      </w:pPr>
      <w:r>
        <w:rPr>
          <w:b/>
          <w:bCs/>
        </w:rPr>
        <w:t xml:space="preserve">The facility-plus-community combination is the best-evidenced combination anywhere in this review</w:t>
      </w:r>
      <w:r>
        <w:t xml:space="preserve"> </w:t>
      </w:r>
      <w:r>
        <w:t xml:space="preserve">— §6.6 above is that finding. Unusually, both components are independently evidenced</w:t>
      </w:r>
      <w:r>
        <w:t xml:space="preserve"> </w:t>
      </w:r>
      <w:r>
        <w:rPr>
          <w:i/>
          <w:iCs/>
        </w:rPr>
        <w:t xml:space="preserve">and</w:t>
      </w:r>
      <w:r>
        <w:t xml:space="preserve"> </w:t>
      </w:r>
      <w:r>
        <w:t xml:space="preserve">there is direct evidence they work through either channel, which is what licenses combining them rather than choosing.</w:t>
      </w:r>
    </w:p>
    <w:p>
      <w:pPr>
        <w:pStyle w:val="BodyText"/>
      </w:pPr>
      <w:r>
        <w:rPr>
          <w:b/>
          <w:bCs/>
        </w:rPr>
        <w:t xml:space="preserve">Combination with a food or nutrient component</w:t>
      </w:r>
      <w:r>
        <w:t xml:space="preserve"> </w:t>
      </w:r>
      <w:r>
        <w:t xml:space="preserve">is thinner than partners might hope. A network meta-analysis of 29 LMIC trials covering 35,119 mother-infant pairs found that during the 0–6 month exclusive-breastfeeding window, only multiple micronutrient supplementation given to infants and kangaroo care showed linear-growth benefit (PMID 33062941) — which is a narrow finding, not a general endorsement of pairing.</w:t>
      </w:r>
    </w:p>
    <w:p>
      <w:pPr>
        <w:pStyle w:val="BodyText"/>
      </w:pPr>
      <w:r>
        <w:rPr>
          <w:b/>
          <w:bCs/>
        </w:rPr>
        <w:t xml:space="preserve">Combination with cash or incentives</w:t>
      </w:r>
      <w:r>
        <w:t xml:space="preserve"> </w:t>
      </w:r>
      <w:r>
        <w:t xml:space="preserve">has suggestive but weak support: 3 of 6 incentive trials were positive and the evidence quality is low (PMID 41257659). The strongest cash-plus signal in the corpus is on supplementation rather than breastfeeding — Nepali participatory women’s groups combined with cash or food transfers raised iron-folate consumption 2.5–4.6 fold (DOI 10.1093/jn/nxy109).</w:t>
      </w:r>
    </w:p>
    <w:p>
      <w:pPr>
        <w:pStyle w:val="BodyText"/>
      </w:pPr>
      <w:r>
        <w:rPr>
          <w:b/>
          <w:bCs/>
        </w:rPr>
        <w:t xml:space="preserve">The open gap.</w:t>
      </w:r>
      <w:r>
        <w:t xml:space="preserve"> </w:t>
      </w:r>
      <w:r>
        <w:t xml:space="preserve">Both CARE technical experts advocated pairing counselling with a food or nutrient component. The corpus does not currently answer whether that pairing outperforms counselling alone for breastfeeding outcomes — largely because complementary feeding was scoped out of this review. If partners want that question answered, it needs a scope decision (§8.4).</w:t>
      </w:r>
    </w:p>
    <w:bookmarkEnd w:id="73"/>
    <w:bookmarkStart w:id="74" w:name="where-it-has-worked-1"/>
    <w:p>
      <w:pPr>
        <w:pStyle w:val="Heading2"/>
      </w:pPr>
      <w:r>
        <w:t xml:space="preserve">6.8 Where it has worked</w:t>
      </w:r>
    </w:p>
    <w:p>
      <w:pPr>
        <w:pStyle w:val="FirstParagraph"/>
      </w:pPr>
      <w:r>
        <w:t xml:space="preserve">Country-specific breastfeeding evidence concentrates in</w:t>
      </w:r>
      <w:r>
        <w:t xml:space="preserve"> </w:t>
      </w:r>
      <w:r>
        <w:rPr>
          <w:b/>
          <w:bCs/>
        </w:rPr>
        <w:t xml:space="preserve">Ethiopia (22 country-specific records), India (11), South Africa (9), Ghana and Kenya (8 each)</w:t>
      </w:r>
      <w:r>
        <w:t xml:space="preserve">. See §4 for the full cross-intervention analysis.</w:t>
      </w:r>
    </w:p>
    <w:p>
      <w:pPr>
        <w:pStyle w:val="BodyText"/>
      </w:pPr>
      <w:r>
        <w:rPr>
          <w:b/>
          <w:bCs/>
        </w:rPr>
        <w:t xml:space="preserve">Ethiopia</w:t>
      </w:r>
      <w:r>
        <w:t xml:space="preserve"> </w:t>
      </w:r>
      <w:r>
        <w:t xml:space="preserve">runs both channels through government: the facility-side Baby-Friendly Hospital Initiative and the community-side Health Extension Package (PMID 30229308), with Women’s Development Army volunteers delivering structured counselling (PMID 30257661) and the Ministry of Health securing Global Financing Facility funding to expand a KMC model nationally (DOI 10.1136/bmjgh-2021-005905). The documented barrier is structural: three months of statutory maternity leave for government employees works against six-month exclusive breastfeeding (PMID 32228718).</w:t>
      </w:r>
    </w:p>
    <w:p>
      <w:pPr>
        <w:pStyle w:val="BodyText"/>
      </w:pPr>
      <w:r>
        <w:rPr>
          <w:b/>
          <w:bCs/>
        </w:rPr>
        <w:t xml:space="preserve">Kenya</w:t>
      </w:r>
      <w:r>
        <w:t xml:space="preserve"> </w:t>
      </w:r>
      <w:r>
        <w:t xml:space="preserve">offers the clearest sustainability lesson. National Baby-Friendly Community Initiative guidelines were developed with Ministry of Health ownership and rolled out to 17 additional counties, delivered through a layered volunteer workforce with mother-to-mother support groups — but</w:t>
      </w:r>
      <w:r>
        <w:t xml:space="preserve"> </w:t>
      </w:r>
      <w:r>
        <w:rPr>
          <w:b/>
          <w:bCs/>
        </w:rPr>
        <w:t xml:space="preserve">coverage declined once donor funding ended</w:t>
      </w:r>
      <w:r>
        <w:t xml:space="preserve">, with absent county budget allocation and unpaid volunteer status flagged as the threats (DOI 10.1111/mcn.12747).</w:t>
      </w:r>
    </w:p>
    <w:p>
      <w:pPr>
        <w:pStyle w:val="BodyText"/>
      </w:pPr>
      <w:r>
        <w:rPr>
          <w:b/>
          <w:bCs/>
        </w:rPr>
        <w:t xml:space="preserve">India and Ethiopia together</w:t>
      </w:r>
      <w:r>
        <w:t xml:space="preserve"> </w:t>
      </w:r>
      <w:r>
        <w:t xml:space="preserve">provide the multi-country KMC scale-up case: strong government leadership, integration into national newborn-care guidelines and data-driven review enabled expansion beyond study districts in three Indian states and in Tigray (DOI 10.1136/bmjgh-2021-005905), with coverage weakest where health systems were weakest.</w:t>
      </w:r>
    </w:p>
    <w:p>
      <w:pPr>
        <w:pStyle w:val="BodyText"/>
      </w:pPr>
      <w:r>
        <w:rPr>
          <w:b/>
          <w:bCs/>
        </w:rPr>
        <w:t xml:space="preserve">Nepal</w:t>
      </w:r>
      <w:r>
        <w:t xml:space="preserve"> </w:t>
      </w:r>
      <w:r>
        <w:t xml:space="preserve">is the counter-case on channel: exclusive breastfeeding measured higher in community than facility settings (PMID 37269619).</w:t>
      </w:r>
    </w:p>
    <w:bookmarkEnd w:id="74"/>
    <w:bookmarkStart w:id="75" w:name="what-blocks-it-1"/>
    <w:p>
      <w:pPr>
        <w:pStyle w:val="Heading2"/>
      </w:pPr>
      <w:r>
        <w:t xml:space="preserve">6.9 What blocks it</w:t>
      </w:r>
    </w:p>
    <w:p>
      <w:pPr>
        <w:pStyle w:val="FirstParagraph"/>
      </w:pPr>
      <w:r>
        <w:rPr>
          <w:b/>
          <w:bCs/>
        </w:rPr>
        <w:t xml:space="preserve">Coverage sits below the World Health Assembly target almost everywhere.</w:t>
      </w:r>
      <w:r>
        <w:t xml:space="preserve"> </w:t>
      </w:r>
      <w:r>
        <w:t xml:space="preserve">Ghana exclusive breastfeeding 50%, Nepal 43%, West Africa 36.5% with early initiation 48.7% (PMID 37208682, 37269619, 39764605) — against a 70% target.</w:t>
      </w:r>
    </w:p>
    <w:p>
      <w:pPr>
        <w:pStyle w:val="BodyText"/>
      </w:pPr>
      <w:r>
        <w:rPr>
          <w:b/>
          <w:bCs/>
        </w:rPr>
        <w:t xml:space="preserve">Demand-side barriers are social, not logistical.</w:t>
      </w:r>
      <w:r>
        <w:t xml:space="preserve"> </w:t>
      </w:r>
      <w:r>
        <w:t xml:space="preserve">Maternal employment and return to work is the most-studied barrier; caesarean delivery is associated with 2.28–10.54 times lower exclusive breastfeeding; perceived insufficient milk, colostrum discarding, family and grandmother influence, and HIV-related stigma recur across syntheses (PMID 28965508, 34090461, 41024075).</w:t>
      </w:r>
    </w:p>
    <w:p>
      <w:pPr>
        <w:pStyle w:val="BodyText"/>
      </w:pPr>
      <w:r>
        <w:rPr>
          <w:b/>
          <w:bCs/>
        </w:rPr>
        <w:t xml:space="preserve">Structural levers are under-evidenced.</w:t>
      </w:r>
      <w:r>
        <w:t xml:space="preserve"> </w:t>
      </w:r>
      <w:r>
        <w:t xml:space="preserve">Of 115 reviews of what works at scale, only 17.4% were LMIC-only and just 7% addressed structural or policy levers such as the International Code of Marketing of Breast-milk Substitutes or maternity benefits; multilevel, multicomponent programmes were the most effective (PMID 35315573). Code implementation is uneven, scoring 69–94 out of 100 across South Asia (PMID 37937076).</w:t>
      </w:r>
    </w:p>
    <w:p>
      <w:pPr>
        <w:pStyle w:val="BodyText"/>
      </w:pPr>
      <w:r>
        <w:rPr>
          <w:b/>
          <w:bCs/>
        </w:rPr>
        <w:t xml:space="preserve">Cash and incentives</w:t>
      </w:r>
      <w:r>
        <w:t xml:space="preserve">, which CARE raised, have suggestive but weak support (PMID 41257659).</w:t>
      </w:r>
    </w:p>
    <w:bookmarkEnd w:id="75"/>
    <w:bookmarkStart w:id="76" w:name="how-to-read-this-chapter-1"/>
    <w:p>
      <w:pPr>
        <w:pStyle w:val="Heading2"/>
      </w:pPr>
      <w:r>
        <w:t xml:space="preserve">6.10 How to read this chapter</w:t>
      </w:r>
    </w:p>
    <w:p>
      <w:pPr>
        <w:pStyle w:val="FirstParagraph"/>
      </w:pPr>
      <w:r>
        <w:t xml:space="preserve">Efficacy is settled to a degree unusual in this field — the flagship review’s authors say so themselves. The design question is therefore not</w:t>
      </w:r>
      <w:r>
        <w:t xml:space="preserve"> </w:t>
      </w:r>
      <w:r>
        <w:rPr>
          <w:i/>
          <w:iCs/>
        </w:rPr>
        <w:t xml:space="preserve">whether</w:t>
      </w:r>
      <w:r>
        <w:t xml:space="preserve"> </w:t>
      </w:r>
      <w:r>
        <w:t xml:space="preserve">to support breastfeeding but</w:t>
      </w:r>
      <w:r>
        <w:t xml:space="preserve"> </w:t>
      </w:r>
      <w:r>
        <w:rPr>
          <w:i/>
          <w:iCs/>
        </w:rPr>
        <w:t xml:space="preserve">through which channel, at what contact intensity, and how to sustain coverage</w:t>
      </w:r>
      <w:r>
        <w:t xml:space="preserve">.</w:t>
      </w:r>
    </w:p>
    <w:p>
      <w:pPr>
        <w:pStyle w:val="BodyText"/>
      </w:pPr>
      <w:r>
        <w:t xml:space="preserve">Two caveats belong in any presentation. The home-visit mortality benefit (RR 0.76) comes from</w:t>
      </w:r>
      <w:r>
        <w:t xml:space="preserve"> </w:t>
      </w:r>
      <w:r>
        <w:rPr>
          <w:b/>
          <w:bCs/>
        </w:rPr>
        <w:t xml:space="preserve">bundled</w:t>
      </w:r>
      <w:r>
        <w:t xml:space="preserve"> </w:t>
      </w:r>
      <w:r>
        <w:t xml:space="preserve">newborn-care packages, so the breastfeeding-specific share is not isolated; KMC’s effect is cleaner because skin-to-skin and breastfeeding are its mechanism. And the evidence base remains high-income-skewed in the skin-to-skin and at-scale reviews, with LMIC-specific estimates flagged separately wherever they could be separated.</w:t>
      </w:r>
    </w:p>
    <w:bookmarkEnd w:id="76"/>
    <w:bookmarkEnd w:id="77"/>
    <w:bookmarkStart w:id="90" w:name="Xb7fe2447cbe9ab5ca3e8d4c018cadd6b4b19b88"/>
    <w:p>
      <w:pPr>
        <w:pStyle w:val="Heading1"/>
      </w:pPr>
      <w:r>
        <w:t xml:space="preserve">7. Antenatal Multiple Micronutrient Supplementation (MMS)</w:t>
      </w:r>
    </w:p>
    <w:p>
      <w:pPr>
        <w:pStyle w:val="BlockText"/>
      </w:pPr>
      <w:r>
        <w:rPr>
          <w:b/>
          <w:bCs/>
        </w:rPr>
        <w:t xml:space="preserve">Scaling position:</w:t>
      </w:r>
      <w:r>
        <w:t xml:space="preserve"> </w:t>
      </w:r>
      <w:r>
        <w:t xml:space="preserve">commodity-based</w:t>
      </w:r>
      <w:r>
        <w:t xml:space="preserve"> </w:t>
      </w:r>
      <w:r>
        <w:rPr>
          <w:b/>
          <w:bCs/>
        </w:rPr>
        <w:t xml:space="preserve">Evidence base:</w:t>
      </w:r>
      <w:r>
        <w:t xml:space="preserve"> </w:t>
      </w:r>
      <w:r>
        <w:t xml:space="preserve">212 on-topic records — 34 meta-analyses, 16 systematic reviews, 31 randomised controlled trials, 19 program evaluations. The largest meta-analytic backbone of the three.</w:t>
      </w:r>
      <w:r>
        <w:t xml:space="preserve"> </w:t>
      </w:r>
      <w:r>
        <w:rPr>
          <w:b/>
          <w:bCs/>
        </w:rPr>
        <w:t xml:space="preserve">What the evidence establishes:</w:t>
      </w:r>
      <w:r>
        <w:t xml:space="preserve"> </w:t>
      </w:r>
      <w:r>
        <w:t xml:space="preserve">that multiple micronutrient supplementation outperforms iron-folic acid on low birthweight, small-for-gestational-age and stillbirth, consistently and across very large samples. Stillbirth reduction is a survival benefit; perinatal mortality is not reduced, and maternal and longer-term child mortality are not established either way (§7.4).</w:t>
      </w:r>
      <w:r>
        <w:t xml:space="preserve"> </w:t>
      </w:r>
      <w:r>
        <w:rPr>
          <w:b/>
          <w:bCs/>
        </w:rPr>
        <w:t xml:space="preserve">What programmes actually achieve:</w:t>
      </w:r>
      <w:r>
        <w:t xml:space="preserve"> </w:t>
      </w:r>
      <w:r>
        <w:t xml:space="preserve">in the settings where adherence has been pooled, under half of women take the supplement as recommended — though this varies widely and is not uniformly low.</w:t>
      </w:r>
      <w:r>
        <w:t xml:space="preserve"> </w:t>
      </w:r>
      <w:r>
        <w:rPr>
          <w:b/>
          <w:bCs/>
        </w:rPr>
        <w:t xml:space="preserve">Where it is thin:</w:t>
      </w:r>
      <w:r>
        <w:t xml:space="preserve"> </w:t>
      </w:r>
      <w:r>
        <w:t xml:space="preserve">effectiveness rather than efficacy. Only 2 of 72 studies in one review were effectiveness trials; the implementation evidence is much weaker than the efficacy evidence.</w:t>
      </w:r>
    </w:p>
    <w:bookmarkStart w:id="78" w:name="what-it-is-2"/>
    <w:p>
      <w:pPr>
        <w:pStyle w:val="Heading2"/>
      </w:pPr>
      <w:r>
        <w:t xml:space="preserve">7.1 What it is</w:t>
      </w:r>
    </w:p>
    <w:p>
      <w:pPr>
        <w:pStyle w:val="FirstParagraph"/>
      </w:pPr>
      <w:r>
        <w:t xml:space="preserve">MMS is a daily tablet containing multiple vitamins and minerals — typically the 15-micronutrient UNIMMAP formulation — given to pregnant women through antenatal care. It replaces iron-folic acid (IFA), the older two-nutrient supplement most countries currently distribute. It corrects concurrent maternal deficiencies that constrain fetal growth, acting on</w:t>
      </w:r>
      <w:r>
        <w:t xml:space="preserve"> </w:t>
      </w:r>
      <w:r>
        <w:rPr>
          <w:b/>
          <w:bCs/>
        </w:rPr>
        <w:t xml:space="preserve">fetal growth and gestational duration</w:t>
      </w:r>
      <w:r>
        <w:t xml:space="preserve"> </w:t>
      </w:r>
      <w:r>
        <w:t xml:space="preserve">rather than on survival.</w:t>
      </w:r>
    </w:p>
    <w:p>
      <w:pPr>
        <w:pStyle w:val="BodyText"/>
      </w:pPr>
      <w:r>
        <w:t xml:space="preserve">The policy question is therefore narrow and specific:</w:t>
      </w:r>
      <w:r>
        <w:t xml:space="preserve"> </w:t>
      </w:r>
      <w:r>
        <w:rPr>
          <w:b/>
          <w:bCs/>
        </w:rPr>
        <w:t xml:space="preserve">should a country switch its antenatal supplement from IFA to MMS?</w:t>
      </w:r>
      <w:r>
        <w:t xml:space="preserve"> </w:t>
      </w:r>
      <w:r>
        <w:t xml:space="preserve">Everything else in this chapter serves that question. Note that only 11 of 34 trials used the UNIMMAP formulation (PMID 37051178), so</w:t>
      </w:r>
      <w:r>
        <w:t xml:space="preserve"> </w:t>
      </w:r>
      <w:r>
        <w:t xml:space="preserve">“MMS”</w:t>
      </w:r>
      <w:r>
        <w:t xml:space="preserve"> </w:t>
      </w:r>
      <w:r>
        <w:t xml:space="preserve">is not a single product in the evidence base.</w:t>
      </w:r>
    </w:p>
    <w:bookmarkEnd w:id="78"/>
    <w:bookmarkStart w:id="79" w:name="the-most-effective-levers-2"/>
    <w:p>
      <w:pPr>
        <w:pStyle w:val="Heading2"/>
      </w:pPr>
      <w:r>
        <w:t xml:space="preserve">7.2 The most effective levers</w:t>
      </w:r>
    </w:p>
    <w:p>
      <w:pPr>
        <w:pStyle w:val="FirstParagraph"/>
      </w:pPr>
      <w:r>
        <w:rPr>
          <w:i/>
          <w:iCs/>
        </w:rPr>
        <w:t xml:space="preserve">Ranking criterion: for MMS the efficacy question is closed, so this ranks what actually changes programme outcomes — the substitution itself, then the two adherence levers with the strongest and most replicated effects.</w:t>
      </w:r>
    </w:p>
    <w:p>
      <w:pPr>
        <w:pStyle w:val="BodyText"/>
      </w:pPr>
      <w:r>
        <w:rPr>
          <w:b/>
          <w:bCs/>
        </w:rPr>
        <w:t xml:space="preserve">1. The substitution itself — switching the antenatal supplement from IFA to MMS.</w:t>
      </w:r>
      <w:r>
        <w:t xml:space="preserve"> </w:t>
      </w:r>
      <w:r>
        <w:t xml:space="preserve">This is the intervention. It reduces low birthweight by 15% (RR 0.85) and the most vulnerable newborn types by 27% (RR 0.73, individual-participant data from 42,618 women), and because it replaces a commodity already moving through antenatal platforms,</w:t>
      </w:r>
      <w:r>
        <w:t xml:space="preserve"> </w:t>
      </w:r>
      <w:r>
        <w:rPr>
          <w:b/>
          <w:bCs/>
        </w:rPr>
        <w:t xml:space="preserve">the delivery channel already exists</w:t>
      </w:r>
      <w:r>
        <w:t xml:space="preserve">. Of the three interventions in this review, this is the most operationally tractable single change.</w:t>
      </w:r>
    </w:p>
    <w:p>
      <w:pPr>
        <w:pStyle w:val="BodyText"/>
      </w:pPr>
      <w:r>
        <w:rPr>
          <w:b/>
          <w:bCs/>
        </w:rPr>
        <w:t xml:space="preserve">2. Antenatal contact frequency.</w:t>
      </w:r>
      <w:r>
        <w:t xml:space="preserve"> </w:t>
      </w:r>
      <w:r>
        <w:t xml:space="preserve">Four or more antenatal visits is associated with more than triple the odds of adherence (odds ratio, OR 3.66), and early registration before 16 weeks with 2.5 times the odds (OR 2.54). Adherence is not primarily a product problem; it tracks how often a woman is seen.</w:t>
      </w:r>
    </w:p>
    <w:p>
      <w:pPr>
        <w:pStyle w:val="BodyText"/>
      </w:pPr>
      <w:r>
        <w:rPr>
          <w:b/>
          <w:bCs/>
        </w:rPr>
        <w:t xml:space="preserve">3. Counselling quality at the point of contact.</w:t>
      </w:r>
      <w:r>
        <w:t xml:space="preserve"> </w:t>
      </w:r>
      <w:r>
        <w:t xml:space="preserve">Receiving counselling more than doubles the odds of adherence (OR 2.34). Where adherence has been raised at scale, counselling was always part of the package — and where it fails, inadequate counselling on dosage and rationale is repeatedly the documented reason.</w:t>
      </w:r>
    </w:p>
    <w:p>
      <w:pPr>
        <w:pStyle w:val="BodyText"/>
      </w:pPr>
      <w:r>
        <w:rPr>
          <w:b/>
          <w:bCs/>
        </w:rPr>
        <w:t xml:space="preserve">A fourth, cheaper option worth noting:</w:t>
      </w:r>
      <w:r>
        <w:t xml:space="preserve"> </w:t>
      </w:r>
      <w:r>
        <w:t xml:space="preserve">weekly rather than daily dosing improves adherence substantially (RR 1.60, 1.34–1.91) at slightly lower haemoglobin — a trade-off rather than a free gain, but a real lever where daily adherence is failing.</w:t>
      </w:r>
    </w:p>
    <w:bookmarkEnd w:id="79"/>
    <w:bookmarkStart w:id="80" w:name="does-it-work-3"/>
    <w:p>
      <w:pPr>
        <w:pStyle w:val="Heading2"/>
      </w:pPr>
      <w:r>
        <w:t xml:space="preserve">7.3 Does it work?</w:t>
      </w:r>
    </w:p>
    <w:p>
      <w:pPr>
        <w:pStyle w:val="FirstParagraph"/>
      </w:pPr>
      <w:r>
        <w:t xml:space="preserve">Yes, consistently, on birth outcomes.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Comparison</w:t>
            </w:r>
          </w:p>
        </w:tc>
        <w:tc>
          <w:tcPr/>
          <w:p>
            <w:pPr>
              <w:pStyle w:val="Compact"/>
            </w:pPr>
            <w:r>
              <w:t xml:space="preserve">Outcome</w:t>
            </w:r>
          </w:p>
        </w:tc>
        <w:tc>
          <w:tcPr/>
          <w:p>
            <w:pPr>
              <w:pStyle w:val="Compact"/>
            </w:pPr>
            <w:r>
              <w:t xml:space="preserve">Effect</w:t>
            </w:r>
          </w:p>
        </w:tc>
        <w:tc>
          <w:tcPr/>
          <w:p>
            <w:pPr>
              <w:pStyle w:val="Compact"/>
            </w:pPr>
            <w:r>
              <w:t xml:space="preserve">Evidence</w:t>
            </w:r>
          </w:p>
        </w:tc>
      </w:tr>
      <w:tr>
        <w:tc>
          <w:tcPr/>
          <w:p>
            <w:pPr>
              <w:pStyle w:val="Compact"/>
            </w:pPr>
            <w:r>
              <w:t xml:space="preserve">MMS vs IFA</w:t>
            </w:r>
          </w:p>
        </w:tc>
        <w:tc>
          <w:tcPr/>
          <w:p>
            <w:pPr>
              <w:pStyle w:val="Compact"/>
            </w:pPr>
            <w:r>
              <w:t xml:space="preserve">Low birthweight</w:t>
            </w:r>
          </w:p>
        </w:tc>
        <w:tc>
          <w:tcPr/>
          <w:p>
            <w:pPr>
              <w:pStyle w:val="Compact"/>
            </w:pPr>
            <w:r>
              <w:rPr>
                <w:b/>
                <w:bCs/>
              </w:rPr>
              <w:t xml:space="preserve">RR 0.85 (0.77–0.93)</w:t>
            </w:r>
            <w:r>
              <w:t xml:space="preserve">, 28 studies, N=79,972</w:t>
            </w:r>
          </w:p>
        </w:tc>
        <w:tc>
          <w:tcPr/>
          <w:p>
            <w:pPr>
              <w:pStyle w:val="Compact"/>
            </w:pPr>
            <w:r>
              <w:t xml:space="preserve">PMID 37051178, 32075071</w:t>
            </w:r>
          </w:p>
        </w:tc>
      </w:tr>
      <w:tr>
        <w:tc>
          <w:tcPr/>
          <w:p>
            <w:pPr>
              <w:pStyle w:val="Compact"/>
            </w:pPr>
            <w:r>
              <w:t xml:space="preserve">MMS vs IFA</w:t>
            </w:r>
          </w:p>
        </w:tc>
        <w:tc>
          <w:tcPr/>
          <w:p>
            <w:pPr>
              <w:pStyle w:val="Compact"/>
            </w:pPr>
            <w:r>
              <w:t xml:space="preserve">Low birthweight</w:t>
            </w:r>
          </w:p>
        </w:tc>
        <w:tc>
          <w:tcPr/>
          <w:p>
            <w:pPr>
              <w:pStyle w:val="Compact"/>
            </w:pPr>
            <w:r>
              <w:t xml:space="preserve">RR 0.88 (0.85–0.91), 18 studies</w:t>
            </w:r>
          </w:p>
        </w:tc>
        <w:tc>
          <w:tcPr/>
          <w:p>
            <w:pPr>
              <w:pStyle w:val="Compact"/>
            </w:pPr>
            <w:r>
              <w:t xml:space="preserve">PMID 37331760</w:t>
            </w:r>
          </w:p>
        </w:tc>
      </w:tr>
      <w:tr>
        <w:tc>
          <w:tcPr/>
          <w:p>
            <w:pPr>
              <w:pStyle w:val="Compact"/>
            </w:pPr>
            <w:r>
              <w:t xml:space="preserve">MMN &gt;4 micronutrients vs IFA</w:t>
            </w:r>
          </w:p>
        </w:tc>
        <w:tc>
          <w:tcPr/>
          <w:p>
            <w:pPr>
              <w:pStyle w:val="Compact"/>
            </w:pPr>
            <w:r>
              <w:t xml:space="preserve">Low birthweight</w:t>
            </w:r>
          </w:p>
        </w:tc>
        <w:tc>
          <w:tcPr/>
          <w:p>
            <w:pPr>
              <w:pStyle w:val="Compact"/>
            </w:pPr>
            <w:r>
              <w:t xml:space="preserve">RR 0.79 (0.71–0.88)</w:t>
            </w:r>
          </w:p>
        </w:tc>
        <w:tc>
          <w:tcPr/>
          <w:p>
            <w:pPr>
              <w:pStyle w:val="Compact"/>
            </w:pPr>
            <w:r>
              <w:t xml:space="preserve">PMID 37051178</w:t>
            </w:r>
          </w:p>
        </w:tc>
      </w:tr>
      <w:tr>
        <w:tc>
          <w:tcPr/>
          <w:p>
            <w:pPr>
              <w:pStyle w:val="Compact"/>
            </w:pPr>
            <w:r>
              <w:t xml:space="preserve">MMS vs IFA</w:t>
            </w:r>
          </w:p>
        </w:tc>
        <w:tc>
          <w:tcPr/>
          <w:p>
            <w:pPr>
              <w:pStyle w:val="Compact"/>
            </w:pPr>
            <w:r>
              <w:t xml:space="preserve">Small for gestational age</w:t>
            </w:r>
          </w:p>
        </w:tc>
        <w:tc>
          <w:tcPr/>
          <w:p>
            <w:pPr>
              <w:pStyle w:val="Compact"/>
            </w:pPr>
            <w:r>
              <w:t xml:space="preserve">RR 0.93 (0.88–0.98), 19 studies</w:t>
            </w:r>
          </w:p>
        </w:tc>
        <w:tc>
          <w:tcPr/>
          <w:p>
            <w:pPr>
              <w:pStyle w:val="Compact"/>
            </w:pPr>
            <w:r>
              <w:t xml:space="preserve">PMID 37051178</w:t>
            </w:r>
          </w:p>
        </w:tc>
      </w:tr>
      <w:tr>
        <w:tc>
          <w:tcPr/>
          <w:p>
            <w:pPr>
              <w:pStyle w:val="Compact"/>
            </w:pPr>
            <w:r>
              <w:t xml:space="preserve">MMS vs IFA</w:t>
            </w:r>
          </w:p>
        </w:tc>
        <w:tc>
          <w:tcPr/>
          <w:p>
            <w:pPr>
              <w:pStyle w:val="Compact"/>
            </w:pPr>
            <w:r>
              <w:t xml:space="preserve">Stillbirth</w:t>
            </w:r>
          </w:p>
        </w:tc>
        <w:tc>
          <w:tcPr/>
          <w:p>
            <w:pPr>
              <w:pStyle w:val="Compact"/>
            </w:pPr>
            <w:r>
              <w:t xml:space="preserve">RR 0.91 (0.86–0.98), 22 studies</w:t>
            </w:r>
          </w:p>
        </w:tc>
        <w:tc>
          <w:tcPr/>
          <w:p>
            <w:pPr>
              <w:pStyle w:val="Compact"/>
            </w:pPr>
            <w:r>
              <w:t xml:space="preserve">PMID 37051178</w:t>
            </w:r>
          </w:p>
        </w:tc>
      </w:tr>
      <w:tr>
        <w:tc>
          <w:tcPr/>
          <w:p>
            <w:pPr>
              <w:pStyle w:val="Compact"/>
            </w:pPr>
            <w:r>
              <w:t xml:space="preserve">MMS vs IFA (IPD)</w:t>
            </w:r>
          </w:p>
        </w:tc>
        <w:tc>
          <w:tcPr/>
          <w:p>
            <w:pPr>
              <w:pStyle w:val="Compact"/>
            </w:pPr>
            <w:r>
              <w:t xml:space="preserve">Preterm–SGA–LBW</w:t>
            </w:r>
          </w:p>
        </w:tc>
        <w:tc>
          <w:tcPr/>
          <w:p>
            <w:pPr>
              <w:pStyle w:val="Compact"/>
            </w:pPr>
            <w:r>
              <w:rPr>
                <w:b/>
                <w:bCs/>
              </w:rPr>
              <w:t xml:space="preserve">RR 0.73 (0.64–0.84)</w:t>
            </w:r>
            <w:r>
              <w:t xml:space="preserve">, 14 studies, N=42,618</w:t>
            </w:r>
          </w:p>
        </w:tc>
        <w:tc>
          <w:tcPr/>
          <w:p>
            <w:pPr>
              <w:pStyle w:val="Compact"/>
            </w:pPr>
            <w:r>
              <w:t xml:space="preserve">PMID 39890230</w:t>
            </w:r>
          </w:p>
        </w:tc>
      </w:tr>
      <w:tr>
        <w:tc>
          <w:tcPr/>
          <w:p>
            <w:pPr>
              <w:pStyle w:val="Compact"/>
            </w:pPr>
            <w:r>
              <w:t xml:space="preserve">MMS vs IFA (IPD)</w:t>
            </w:r>
          </w:p>
        </w:tc>
        <w:tc>
          <w:tcPr/>
          <w:p>
            <w:pPr>
              <w:pStyle w:val="Compact"/>
            </w:pPr>
            <w:r>
              <w:t xml:space="preserve">Preterm–SGA</w:t>
            </w:r>
          </w:p>
        </w:tc>
        <w:tc>
          <w:tcPr/>
          <w:p>
            <w:pPr>
              <w:pStyle w:val="Compact"/>
            </w:pPr>
            <w:r>
              <w:t xml:space="preserve">RR 0.71 (0.62–0.82)</w:t>
            </w:r>
          </w:p>
        </w:tc>
        <w:tc>
          <w:tcPr/>
          <w:p>
            <w:pPr>
              <w:pStyle w:val="Compact"/>
            </w:pPr>
            <w:r>
              <w:t xml:space="preserve">PMID 39890230</w:t>
            </w:r>
          </w:p>
        </w:tc>
      </w:tr>
      <w:tr>
        <w:tc>
          <w:tcPr/>
          <w:p>
            <w:pPr>
              <w:pStyle w:val="Compact"/>
            </w:pPr>
            <w:r>
              <w:t xml:space="preserve">MMS vs IFA</w:t>
            </w:r>
          </w:p>
        </w:tc>
        <w:tc>
          <w:tcPr/>
          <w:p>
            <w:pPr>
              <w:pStyle w:val="Compact"/>
            </w:pPr>
            <w:r>
              <w:t xml:space="preserve">Third-trimester haemoglobin</w:t>
            </w:r>
          </w:p>
        </w:tc>
        <w:tc>
          <w:tcPr/>
          <w:p>
            <w:pPr>
              <w:pStyle w:val="Compact"/>
            </w:pPr>
            <w:r>
              <w:t xml:space="preserve">MD +0.67 g/dL (0.49–0.84), GRADE moderate</w:t>
            </w:r>
          </w:p>
        </w:tc>
        <w:tc>
          <w:tcPr/>
          <w:p>
            <w:pPr>
              <w:pStyle w:val="Compact"/>
            </w:pPr>
            <w:r>
              <w:t xml:space="preserve">PMID 42067194</w:t>
            </w:r>
          </w:p>
        </w:tc>
      </w:tr>
    </w:tbl>
    <w:p>
      <w:pPr>
        <w:pStyle w:val="BodyText"/>
      </w:pPr>
      <w:r>
        <w:t xml:space="preserve">The benefit is consistent across an individual-participant-data meta-analysis in</w:t>
      </w:r>
      <w:r>
        <w:t xml:space="preserve"> </w:t>
      </w:r>
      <w:r>
        <w:rPr>
          <w:i/>
          <w:iCs/>
        </w:rPr>
        <w:t xml:space="preserve">Lancet Global Health</w:t>
      </w:r>
      <w:r>
        <w:t xml:space="preserve"> </w:t>
      </w:r>
      <w:r>
        <w:t xml:space="preserve">(PMID 39890230), a 72-study Campbell review (PMID 37051178) and its</w:t>
      </w:r>
      <w:r>
        <w:t xml:space="preserve"> </w:t>
      </w:r>
      <w:r>
        <w:rPr>
          <w:i/>
          <w:iCs/>
        </w:rPr>
        <w:t xml:space="preserve">Nutrients</w:t>
      </w:r>
      <w:r>
        <w:t xml:space="preserve"> </w:t>
      </w:r>
      <w:r>
        <w:t xml:space="preserve">companion (PMID 32075071), a modular</w:t>
      </w:r>
      <w:r>
        <w:t xml:space="preserve"> </w:t>
      </w:r>
      <w:r>
        <w:rPr>
          <w:i/>
          <w:iCs/>
        </w:rPr>
        <w:t xml:space="preserve">AJCN</w:t>
      </w:r>
      <w:r>
        <w:t xml:space="preserve"> </w:t>
      </w:r>
      <w:r>
        <w:t xml:space="preserve">review (PMID 37331760), a 169-RCT network meta-analysis of 302,061 women (PMID 31348509), and long-term follow-up (PMID 27306908). MMS also reduced late-pregnancy vitamin A, B-12 and D deficiency in JiVitA-3 (DOI 10.1093/jn/nxz046).</w:t>
      </w:r>
    </w:p>
    <w:p>
      <w:pPr>
        <w:pStyle w:val="BodyText"/>
      </w:pPr>
      <w:r>
        <w:rPr>
          <w:b/>
          <w:bCs/>
        </w:rPr>
        <w:t xml:space="preserve">A nuance on preterm birth.</w:t>
      </w:r>
      <w:r>
        <w:t xml:space="preserve"> </w:t>
      </w:r>
      <w:r>
        <w:t xml:space="preserve">Across 169 RCTs, maternal multiple-micronutrient supplementation reduced preterm birth against standard of care (OR 0.54, 0.27–0.97), but the</w:t>
      </w:r>
      <w:r>
        <w:t xml:space="preserve"> </w:t>
      </w:r>
      <w:r>
        <w:rPr>
          <w:b/>
          <w:bCs/>
        </w:rPr>
        <w:t xml:space="preserve">MMN-versus-IFA network comparison was null</w:t>
      </w:r>
      <w:r>
        <w:t xml:space="preserve"> </w:t>
      </w:r>
      <w:r>
        <w:t xml:space="preserve">(OR 0.90, 0.78–1.01) (PMID 31348509). MMS’s specific edge over IFA is on low birthweight, SGA and stillbirth — not preterm birth.</w:t>
      </w:r>
    </w:p>
    <w:bookmarkEnd w:id="80"/>
    <w:bookmarkStart w:id="81" w:name="Xddcae9df0615113faa03466c599c4243e06f4e1"/>
    <w:p>
      <w:pPr>
        <w:pStyle w:val="Heading2"/>
      </w:pPr>
      <w:r>
        <w:t xml:space="preserve">7.4 Mortality: a more mixed picture than</w:t>
      </w:r>
      <w:r>
        <w:t xml:space="preserve"> </w:t>
      </w:r>
      <w:r>
        <w:t xml:space="preserve">“birth outcomes but not survival”</w:t>
      </w:r>
    </w:p>
    <w:p>
      <w:pPr>
        <w:pStyle w:val="FirstParagraph"/>
      </w:pPr>
      <w:r>
        <w:t xml:space="preserve">An earlier draft of this report summarised the position as</w:t>
      </w:r>
      <w:r>
        <w:t xml:space="preserve"> </w:t>
      </w:r>
      <w:r>
        <w:rPr>
          <w:i/>
          <w:iCs/>
        </w:rPr>
        <w:t xml:space="preserve">“MMS improves birth outcomes but not survival.”</w:t>
      </w:r>
      <w:r>
        <w:t xml:space="preserve"> </w:t>
      </w:r>
      <w:r>
        <w:t xml:space="preserve">That is too clean, and in one respect wrong. The evidence separates into three groups with genuinely different strength.</w:t>
      </w:r>
    </w:p>
    <w:p>
      <w:pPr>
        <w:pStyle w:val="BodyText"/>
      </w:pPr>
      <w:r>
        <w:rPr>
          <w:b/>
          <w:bCs/>
        </w:rPr>
        <w:t xml:space="preserve">It does reduce stillbirth — and a stillbirth is a death.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Estimate</w:t>
            </w:r>
          </w:p>
        </w:tc>
        <w:tc>
          <w:tcPr/>
          <w:p>
            <w:pPr>
              <w:pStyle w:val="Compact"/>
            </w:pPr>
            <w:r>
              <w:t xml:space="preserve">Basis</w:t>
            </w:r>
          </w:p>
        </w:tc>
      </w:tr>
      <w:tr>
        <w:tc>
          <w:tcPr/>
          <w:p>
            <w:pPr>
              <w:pStyle w:val="Compact"/>
            </w:pPr>
            <w:r>
              <w:t xml:space="preserve">PMID 37051178</w:t>
            </w:r>
          </w:p>
        </w:tc>
        <w:tc>
          <w:tcPr/>
          <w:p>
            <w:pPr>
              <w:pStyle w:val="Compact"/>
            </w:pPr>
            <w:r>
              <w:rPr>
                <w:b/>
                <w:bCs/>
              </w:rPr>
              <w:t xml:space="preserve">RR 0.91 (0.86–0.98)</w:t>
            </w:r>
          </w:p>
        </w:tc>
        <w:tc>
          <w:tcPr/>
          <w:p>
            <w:pPr>
              <w:pStyle w:val="Compact"/>
            </w:pPr>
            <w:r>
              <w:t xml:space="preserve">22 studies, N=96,772</w:t>
            </w:r>
          </w:p>
        </w:tc>
      </w:tr>
      <w:tr>
        <w:tc>
          <w:tcPr/>
          <w:p>
            <w:pPr>
              <w:pStyle w:val="Compact"/>
            </w:pPr>
            <w:r>
              <w:t xml:space="preserve">PMID 32075071</w:t>
            </w:r>
          </w:p>
        </w:tc>
        <w:tc>
          <w:tcPr/>
          <w:p>
            <w:pPr>
              <w:pStyle w:val="Compact"/>
            </w:pPr>
            <w:r>
              <w:t xml:space="preserve">RR 0.91 (0.86–0.98)</w:t>
            </w:r>
          </w:p>
        </w:tc>
        <w:tc>
          <w:tcPr/>
          <w:p>
            <w:pPr>
              <w:pStyle w:val="Compact"/>
            </w:pPr>
            <w:r>
              <w:t xml:space="preserve">22 studies</w:t>
            </w:r>
          </w:p>
        </w:tc>
      </w:tr>
      <w:tr>
        <w:tc>
          <w:tcPr/>
          <w:p>
            <w:pPr>
              <w:pStyle w:val="Compact"/>
            </w:pPr>
            <w:r>
              <w:t xml:space="preserve">DOI 10.1111/nyas.14121</w:t>
            </w:r>
          </w:p>
        </w:tc>
        <w:tc>
          <w:tcPr/>
          <w:p>
            <w:pPr>
              <w:pStyle w:val="Compact"/>
            </w:pPr>
            <w:r>
              <w:t xml:space="preserve">RR 0.92 (0.86–0.99)</w:t>
            </w:r>
          </w:p>
        </w:tc>
        <w:tc>
          <w:tcPr/>
          <w:p>
            <w:pPr>
              <w:pStyle w:val="Compact"/>
            </w:pPr>
            <w:r>
              <w:t xml:space="preserve">17 studies, N=112,952</w:t>
            </w:r>
          </w:p>
        </w:tc>
      </w:tr>
      <w:tr>
        <w:tc>
          <w:tcPr/>
          <w:p>
            <w:pPr>
              <w:pStyle w:val="Compact"/>
            </w:pPr>
            <w:r>
              <w:t xml:space="preserve">DOI 10.1038/nrendo.2016.37</w:t>
            </w:r>
          </w:p>
        </w:tc>
        <w:tc>
          <w:tcPr/>
          <w:p>
            <w:pPr>
              <w:pStyle w:val="Compact"/>
            </w:pPr>
            <w:r>
              <w:t xml:space="preserve">RR 0.91 (0.85–0.98)</w:t>
            </w:r>
          </w:p>
        </w:tc>
        <w:tc>
          <w:tcPr/>
          <w:p>
            <w:pPr>
              <w:pStyle w:val="Compact"/>
            </w:pPr>
            <w:r>
              <w:t xml:space="preserve">15 studies pooled</w:t>
            </w:r>
          </w:p>
        </w:tc>
      </w:tr>
      <w:tr>
        <w:tc>
          <w:tcPr/>
          <w:p>
            <w:pPr>
              <w:pStyle w:val="Compact"/>
            </w:pPr>
            <w:r>
              <w:t xml:space="preserve">PMID 37331760</w:t>
            </w:r>
          </w:p>
        </w:tc>
        <w:tc>
          <w:tcPr/>
          <w:p>
            <w:pPr>
              <w:pStyle w:val="Compact"/>
            </w:pPr>
            <w:r>
              <w:t xml:space="preserve">RR 0.95 (0.86–1.04) —</w:t>
            </w:r>
            <w:r>
              <w:t xml:space="preserve"> </w:t>
            </w:r>
            <w:r>
              <w:rPr>
                <w:b/>
                <w:bCs/>
              </w:rPr>
              <w:t xml:space="preserve">not significant</w:t>
            </w:r>
          </w:p>
        </w:tc>
        <w:tc>
          <w:tcPr/>
          <w:p>
            <w:pPr>
              <w:pStyle w:val="Compact"/>
            </w:pPr>
            <w:r>
              <w:t xml:space="preserve">17 studies, N=97,927</w:t>
            </w:r>
          </w:p>
        </w:tc>
      </w:tr>
    </w:tbl>
    <w:p>
      <w:pPr>
        <w:pStyle w:val="BodyText"/>
      </w:pPr>
      <w:r>
        <w:t xml:space="preserve">Four of five independent syntheses find a significant reduction of roughly 9%, on samples approaching 100,000 pregnancies. One does not. Fetal death is a survival outcome by any ordinary reading, so the blanket claim that MMS does not affect survival is not supportable.</w:t>
      </w:r>
    </w:p>
    <w:p>
      <w:pPr>
        <w:pStyle w:val="BodyText"/>
      </w:pPr>
      <w:r>
        <w:rPr>
          <w:b/>
          <w:bCs/>
        </w:rPr>
        <w:t xml:space="preserve">It does not reduce perinatal mortality, and that null is informative.</w:t>
      </w:r>
      <w:r>
        <w:t xml:space="preserve"> </w:t>
      </w:r>
      <w:r>
        <w:t xml:space="preserve">Perinatal mortality RR 1.00 (0.90–1.11) across 16 studies (PMID 32075071). The confidence interval is tight and centred on no effect — this is a well-powered null, not an absence of data. It is the strongest single piece of evidence behind the</w:t>
      </w:r>
      <w:r>
        <w:t xml:space="preserve"> </w:t>
      </w:r>
      <w:r>
        <w:t xml:space="preserve">“not a mortality intervention”</w:t>
      </w:r>
      <w:r>
        <w:t xml:space="preserve"> </w:t>
      </w:r>
      <w:r>
        <w:t xml:space="preserve">framing, and it should be stated as such rather than bundled with the weaker nulls below.</w:t>
      </w:r>
    </w:p>
    <w:p>
      <w:pPr>
        <w:pStyle w:val="BodyText"/>
      </w:pPr>
      <w:r>
        <w:rPr>
          <w:b/>
          <w:bCs/>
        </w:rPr>
        <w:t xml:space="preserve">Two further nulls are uninformative and should not be cited as evidence of no effect.</w:t>
      </w:r>
      <w:r>
        <w:t xml:space="preserve"> </w:t>
      </w:r>
      <w:r>
        <w:t xml:space="preserve">Maternal mortality RR 1.04 with a confidence interval of 0.71 to 1.51 (7 studies) spans a 29% reduction to a 51% increase — that interval is compatible with almost anything. Long-term offspring mortality, RD −0.05 with an interval of −5.25 to 5.15 (PMID 27306908), is wider still. Both are too imprecise to support a conclusion in either direction.</w:t>
      </w:r>
      <w:r>
        <w:t xml:space="preserve"> </w:t>
      </w:r>
      <w:r>
        <w:rPr>
          <w:i/>
          <w:iCs/>
        </w:rPr>
        <w:t xml:space="preserve">No evidence of an effect is not evidence of no effect</w:t>
      </w:r>
      <w:r>
        <w:t xml:space="preserve">, and these two are the former.</w:t>
      </w:r>
    </w:p>
    <w:p>
      <w:pPr>
        <w:pStyle w:val="BodyText"/>
      </w:pPr>
      <w:r>
        <w:rPr>
          <w:b/>
          <w:bCs/>
        </w:rPr>
        <w:t xml:space="preserve">How to state it accurately.</w:t>
      </w:r>
      <w:r>
        <w:t xml:space="preserve"> </w:t>
      </w:r>
      <w:r>
        <w:t xml:space="preserve">MMS reduces stillbirth by about 9%; it does not reduce perinatal mortality, on good evidence; and its effect on maternal and longer-term child mortality is simply not established either way. If a programme’s objective is child survival beyond stillbirth prevention, the case rests on the pathway from reduced small-vulnerable-newborn births to downstream risk — a mechanistic argument, not a measured one. One modelling study estimates early neonatal mortality RR 0.86 and infant mortality RR 0.82–0.87 (DOI 10.1111/nyas.14132), but that is a model, not trial evidence, and should be labelled as such whenever it is used.</w:t>
      </w:r>
    </w:p>
    <w:bookmarkEnd w:id="81"/>
    <w:bookmarkStart w:id="82" w:name="Xd14f2aa646ca8a7cc4e801cf195b42d188a821a"/>
    <w:p>
      <w:pPr>
        <w:pStyle w:val="Heading2"/>
      </w:pPr>
      <w:r>
        <w:t xml:space="preserve">7.5 The safety signal — contested, corrected, and not a filter</w:t>
      </w:r>
    </w:p>
    <w:p>
      <w:pPr>
        <w:pStyle w:val="FirstParagraph"/>
      </w:pPr>
      <w:r>
        <w:t xml:space="preserve">An early subgroup analysis suggested MMS increased neonatal mortality where most births occur at home, using a 60%-facility-birth threshold (DOI 10.1186/1471-2458-11-s3-s19).</w:t>
      </w:r>
    </w:p>
    <w:p>
      <w:pPr>
        <w:pStyle w:val="BodyText"/>
      </w:pPr>
      <w:r>
        <w:rPr>
          <w:b/>
          <w:bCs/>
        </w:rPr>
        <w:t xml:space="preserve">A WHO technical correction of that subgroup analysis found no evidence that MMS increases neonatal mortality</w:t>
      </w:r>
      <w:r>
        <w:t xml:space="preserve"> </w:t>
      </w:r>
      <w:r>
        <w:t xml:space="preserve">once errors were fixed and additional trials added — corrected pooled</w:t>
      </w:r>
      <w:r>
        <w:t xml:space="preserve"> </w:t>
      </w:r>
      <w:r>
        <w:rPr>
          <w:b/>
          <w:bCs/>
        </w:rPr>
        <w:t xml:space="preserve">RR 1.05 (0.85–1.30)</w:t>
      </w:r>
      <w:r>
        <w:t xml:space="preserve"> </w:t>
      </w:r>
      <w:r>
        <w:t xml:space="preserve">against the original</w:t>
      </w:r>
      <w:r>
        <w:t xml:space="preserve"> </w:t>
      </w:r>
      <w:r>
        <w:rPr>
          <w:b/>
          <w:bCs/>
        </w:rPr>
        <w:t xml:space="preserve">RR 1.22 (0.95–1.57)</w:t>
      </w:r>
      <w:r>
        <w:t xml:space="preserve"> </w:t>
      </w:r>
      <w:r>
        <w:t xml:space="preserve">— and attributed the residual signal largely to</w:t>
      </w:r>
      <w:r>
        <w:t xml:space="preserve"> </w:t>
      </w:r>
      <w:r>
        <w:rPr>
          <w:b/>
          <w:bCs/>
        </w:rPr>
        <w:t xml:space="preserve">iron dose</w:t>
      </w:r>
      <w:r>
        <w:t xml:space="preserve">, recommending that programmes select an MMS formulation whose iron dose matches their current iron-only dose (DOI 10.1093/jn/nxy279). A task-force IPD analysis of roughly 113,000 pregnancies reaffirmed the birth-outcome benefit (DOI 10.1111/nyas.14271), and updated WHO evidence puts the low-birthweight reduction at about 12% versus IFA (DOI 10.1136/bmjgh-2020-003375).</w:t>
      </w:r>
    </w:p>
    <w:p>
      <w:pPr>
        <w:pStyle w:val="BodyText"/>
      </w:pPr>
      <w:r>
        <w:rPr>
          <w:b/>
          <w:bCs/>
        </w:rPr>
        <w:t xml:space="preserve">This is not a contraindication.</w:t>
      </w:r>
      <w:r>
        <w:t xml:space="preserve"> </w:t>
      </w:r>
      <w:r>
        <w:t xml:space="preserve">Where skilled birth attendance is very low the birth-outcome gains are smaller, so MMS should be introduced alongside facility-delivery strengthening rather than as a standalone fix. It is a country-selection consideration, not a disqualifier — and it should not be reintroduced as one.</w:t>
      </w:r>
    </w:p>
    <w:bookmarkEnd w:id="82"/>
    <w:bookmarkStart w:id="83" w:name="X5059ed6a646e396e940e3d274fb0d754999f585"/>
    <w:p>
      <w:pPr>
        <w:pStyle w:val="Heading2"/>
      </w:pPr>
      <w:r>
        <w:t xml:space="preserve">7.6 Can we scale it? Adherence is the binding constraint</w:t>
      </w:r>
    </w:p>
    <w:p>
      <w:pPr>
        <w:pStyle w:val="FirstParagraph"/>
      </w:pPr>
      <w:r>
        <w:rPr>
          <w:b/>
          <w:bCs/>
        </w:rPr>
        <w:t xml:space="preserve">Real-world adherence runs at 41–46% and below WHO targets.</w:t>
      </w:r>
      <w:r>
        <w:t xml:space="preserve"> </w:t>
      </w:r>
      <w:r>
        <w:t xml:space="preserve">Pooled IFA adherence in Ethiopia was</w:t>
      </w:r>
      <w:r>
        <w:t xml:space="preserve"> </w:t>
      </w:r>
      <w:r>
        <w:rPr>
          <w:b/>
          <w:bCs/>
        </w:rPr>
        <w:t xml:space="preserve">41.4%</w:t>
      </w:r>
      <w:r>
        <w:t xml:space="preserve"> </w:t>
      </w:r>
      <w:r>
        <w:t xml:space="preserve">(33–50%, 15 studies; DOI 10.1186/s12884-020-2835-0) and</w:t>
      </w:r>
      <w:r>
        <w:t xml:space="preserve"> </w:t>
      </w:r>
      <w:r>
        <w:rPr>
          <w:b/>
          <w:bCs/>
        </w:rPr>
        <w:t xml:space="preserve">46.2%</w:t>
      </w:r>
      <w:r>
        <w:t xml:space="preserve"> </w:t>
      </w:r>
      <w:r>
        <w:t xml:space="preserve">(34.8–57.6, 20 studies; DOI 10.1186/s12978-019-0848-9), ranging from 19.7% in Afar to 60% in Addis Ababa. Single-site studies span a wider range still — roughly 35–41% in parts of Ethiopia (DOI 10.3389/fpubh.2022.978084, 10.1371/journal.pone.0227090) up to</w:t>
      </w:r>
      <w:r>
        <w:t xml:space="preserve"> </w:t>
      </w:r>
      <w:r>
        <w:rPr>
          <w:b/>
          <w:bCs/>
        </w:rPr>
        <w:t xml:space="preserve">77–82% in north India and West Bengal</w:t>
      </w:r>
      <w:r>
        <w:t xml:space="preserve"> </w:t>
      </w:r>
      <w:r>
        <w:t xml:space="preserve">(DOI 10.4103/jfmpc.jfmpc_1742_20, 10.4103/jfmpc.jfmpc_392_20). Adherence is highly context-dependent, not uniformly low, and it responds to counselling and antenatal contact.</w:t>
      </w:r>
    </w:p>
    <w:p>
      <w:pPr>
        <w:pStyle w:val="BodyText"/>
      </w:pPr>
      <w:r>
        <w:rPr>
          <w:b/>
          <w:bCs/>
        </w:rPr>
        <w:t xml:space="preserve">Facility-based adherence (47.3%) exceeded community-based (37.2%)</w:t>
      </w:r>
      <w:r>
        <w:t xml:space="preserve"> </w:t>
      </w:r>
      <w:r>
        <w:t xml:space="preserve">in one pooled analysis (DOI 10.1186/s12884-020-2835-0) — the antenatal facility contact is where adherence is strongest, which is a useful counterweight to the CHW-decentralisation finding elsewhere in this review.</w:t>
      </w:r>
    </w:p>
    <w:p>
      <w:pPr>
        <w:pStyle w:val="BodyText"/>
      </w:pPr>
      <w:r>
        <w:rPr>
          <w:b/>
          <w:bCs/>
        </w:rPr>
        <w:t xml:space="preserve">What drives adherence: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Driver</w:t>
            </w:r>
          </w:p>
        </w:tc>
        <w:tc>
          <w:tcPr/>
          <w:p>
            <w:pPr>
              <w:pStyle w:val="Compact"/>
            </w:pPr>
            <w:r>
              <w:t xml:space="preserve">Effect</w:t>
            </w:r>
          </w:p>
        </w:tc>
        <w:tc>
          <w:tcPr/>
          <w:p>
            <w:pPr>
              <w:pStyle w:val="Compact"/>
            </w:pPr>
            <w:r>
              <w:t xml:space="preserve">Evidence</w:t>
            </w:r>
          </w:p>
        </w:tc>
      </w:tr>
      <w:tr>
        <w:tc>
          <w:tcPr/>
          <w:p>
            <w:pPr>
              <w:pStyle w:val="Compact"/>
            </w:pPr>
            <w:r>
              <w:t xml:space="preserve">Early ANC registration (&lt;16 weeks)</w:t>
            </w:r>
          </w:p>
        </w:tc>
        <w:tc>
          <w:tcPr/>
          <w:p>
            <w:pPr>
              <w:pStyle w:val="Compact"/>
            </w:pPr>
            <w:r>
              <w:t xml:space="preserve">OR 2.54</w:t>
            </w:r>
          </w:p>
        </w:tc>
        <w:tc>
          <w:tcPr/>
          <w:p>
            <w:pPr>
              <w:pStyle w:val="Compact"/>
            </w:pPr>
            <w:r>
              <w:t xml:space="preserve">DOI 10.1186/s12884-020-2835-0</w:t>
            </w:r>
          </w:p>
        </w:tc>
      </w:tr>
      <w:tr>
        <w:tc>
          <w:tcPr/>
          <w:p>
            <w:pPr>
              <w:pStyle w:val="Compact"/>
            </w:pPr>
            <w:r>
              <w:t xml:space="preserve">Four or more ANC visits</w:t>
            </w:r>
          </w:p>
        </w:tc>
        <w:tc>
          <w:tcPr/>
          <w:p>
            <w:pPr>
              <w:pStyle w:val="Compact"/>
            </w:pPr>
            <w:r>
              <w:t xml:space="preserve">OR 3.66</w:t>
            </w:r>
          </w:p>
        </w:tc>
        <w:tc>
          <w:tcPr/>
          <w:p>
            <w:pPr>
              <w:pStyle w:val="Compact"/>
            </w:pPr>
            <w:r>
              <w:t xml:space="preserve">DOI 10.1186/s12884-020-2835-0</w:t>
            </w:r>
          </w:p>
        </w:tc>
      </w:tr>
      <w:tr>
        <w:tc>
          <w:tcPr/>
          <w:p>
            <w:pPr>
              <w:pStyle w:val="Compact"/>
            </w:pPr>
            <w:r>
              <w:t xml:space="preserve">Receiving counselling / information</w:t>
            </w:r>
          </w:p>
        </w:tc>
        <w:tc>
          <w:tcPr/>
          <w:p>
            <w:pPr>
              <w:pStyle w:val="Compact"/>
            </w:pPr>
            <w:r>
              <w:t xml:space="preserve">OR 2.34</w:t>
            </w:r>
          </w:p>
        </w:tc>
        <w:tc>
          <w:tcPr/>
          <w:p>
            <w:pPr>
              <w:pStyle w:val="Compact"/>
            </w:pPr>
            <w:r>
              <w:t xml:space="preserve">DOI 10.1186/s12978-019-0848-9</w:t>
            </w:r>
          </w:p>
        </w:tc>
      </w:tr>
      <w:tr>
        <w:tc>
          <w:tcPr/>
          <w:p>
            <w:pPr>
              <w:pStyle w:val="Compact"/>
            </w:pPr>
            <w:r>
              <w:t xml:space="preserve">Weekly rather than daily dosing</w:t>
            </w:r>
          </w:p>
        </w:tc>
        <w:tc>
          <w:tcPr/>
          <w:p>
            <w:pPr>
              <w:pStyle w:val="Compact"/>
            </w:pPr>
            <w:r>
              <w:t xml:space="preserve">RR 1.60 (1.34–1.91), at slightly lower haemoglobin</w:t>
            </w:r>
          </w:p>
        </w:tc>
        <w:tc>
          <w:tcPr/>
          <w:p>
            <w:pPr>
              <w:pStyle w:val="Compact"/>
            </w:pPr>
            <w:r>
              <w:t xml:space="preserve">PMID 39780191</w:t>
            </w:r>
          </w:p>
        </w:tc>
      </w:tr>
    </w:tbl>
    <w:p>
      <w:pPr>
        <w:pStyle w:val="BodyText"/>
      </w:pPr>
      <w:r>
        <w:rPr>
          <w:b/>
          <w:bCs/>
        </w:rPr>
        <w:t xml:space="preserve">Coverage is low and antenatal-gated.</w:t>
      </w:r>
      <w:r>
        <w:t xml:space="preserve"> </w:t>
      </w:r>
      <w:r>
        <w:t xml:space="preserve">Only 37% of pregnant women in Bihar received any IFA and 24% consumed 90 days or more (PMID 30499258). About half of women in sub-Saharan Africa lack skilled antenatal or delivery care (DOI 10.1371/journal.pone.0222566) — and at least one skilled antenatal visit itself lowers neonatal mortality (RR 0.61, 0.43–0.86). In Bangladesh, the largest coverage drop-off — 61 percentage points — occurs not at antenatal attendance or IFA receipt but</w:t>
      </w:r>
      <w:r>
        <w:t xml:space="preserve"> </w:t>
      </w:r>
      <w:r>
        <w:rPr>
          <w:b/>
          <w:bCs/>
        </w:rPr>
        <w:t xml:space="preserve">between receiving any IFA and consuming the recommended 180 tablets</w:t>
      </w:r>
      <w:r>
        <w:t xml:space="preserve"> </w:t>
      </w:r>
      <w:r>
        <w:t xml:space="preserve">(DOI 10.3390/nu14153114).</w:t>
      </w:r>
    </w:p>
    <w:p>
      <w:pPr>
        <w:pStyle w:val="BodyText"/>
      </w:pPr>
      <w:r>
        <w:rPr>
          <w:b/>
          <w:bCs/>
        </w:rPr>
        <w:t xml:space="preserve">What raises coverage and adherence.</w:t>
      </w:r>
      <w:r>
        <w:t xml:space="preserve"> </w:t>
      </w:r>
      <w:r>
        <w:t xml:space="preserve">The most effective South Asian programmes combined community home-visit delivery of free supplements, quality counselling, husband and family engagement, and supply-chain strengthening (PMID 30499258). In Nepal, participatory women’s groups with cash or food transfers raised iron-folate consumption 2.5–4.6 fold and attendance to 96% (DOI 10.1093/jn/nxy109). CHW platforms already dispense IFA at scale (DOI 10.1186/s12960-018-0304-x).</w:t>
      </w:r>
    </w:p>
    <w:bookmarkEnd w:id="83"/>
    <w:bookmarkStart w:id="84" w:name="X1907117ed505828b8b0dab1e656bdaf6349764d"/>
    <w:p>
      <w:pPr>
        <w:pStyle w:val="Heading2"/>
      </w:pPr>
      <w:r>
        <w:t xml:space="preserve">7.7 Transition mechanics — the actual deliverable</w:t>
      </w:r>
    </w:p>
    <w:p>
      <w:pPr>
        <w:pStyle w:val="FirstParagraph"/>
      </w:pPr>
      <w:r>
        <w:t xml:space="preserve">Because MMS substitutes for a commodity already flowing through antenatal platforms, it is the most operationally tractable of the three interventions:</w:t>
      </w:r>
      <w:r>
        <w:t xml:space="preserve"> </w:t>
      </w:r>
      <w:r>
        <w:rPr>
          <w:b/>
          <w:bCs/>
        </w:rPr>
        <w:t xml:space="preserve">the channel already exists.</w:t>
      </w:r>
      <w:r>
        <w:t xml:space="preserve"> </w:t>
      </w:r>
      <w:r>
        <w:t xml:space="preserve">The corpus documents three live transitions:</w:t>
      </w:r>
    </w:p>
    <w:p>
      <w:pPr>
        <w:pStyle w:val="Compact"/>
        <w:numPr>
          <w:ilvl w:val="0"/>
          <w:numId w:val="1011"/>
        </w:numPr>
      </w:pPr>
      <w:r>
        <w:rPr>
          <w:b/>
          <w:bCs/>
        </w:rPr>
        <w:t xml:space="preserve">Pakistan and Nigeria</w:t>
      </w:r>
      <w:r>
        <w:t xml:space="preserve"> </w:t>
      </w:r>
      <w:r>
        <w:t xml:space="preserve">have committed to nationwide MMS scale-up, with implementation research running specifically to inform the transition of antenatal platforms from IFA to MMS, delivered through the same channels previously used for IFA — facility antenatal care plus community distribution via Lady Health Workers and CHEWs respectively, strengthened with provider training, supply-chain management and monitoring tools (PMID 41978151).</w:t>
      </w:r>
    </w:p>
    <w:p>
      <w:pPr>
        <w:pStyle w:val="Compact"/>
        <w:numPr>
          <w:ilvl w:val="0"/>
          <w:numId w:val="1011"/>
        </w:numPr>
      </w:pPr>
      <w:r>
        <w:rPr>
          <w:b/>
          <w:bCs/>
        </w:rPr>
        <w:t xml:space="preserve">Ethiopia</w:t>
      </w:r>
      <w:r>
        <w:t xml:space="preserve"> </w:t>
      </w:r>
      <w:r>
        <w:t xml:space="preserve">has piloted MMS within routine antenatal care through Ministry of Health and Regional Health Bureau structures, delivered by existing antenatal staff and Health Extension Workers chosen because they already handle IFA (PMID 39887615).</w:t>
      </w:r>
    </w:p>
    <w:p>
      <w:pPr>
        <w:pStyle w:val="Compact"/>
        <w:numPr>
          <w:ilvl w:val="0"/>
          <w:numId w:val="1011"/>
        </w:numPr>
      </w:pPr>
      <w:r>
        <w:rPr>
          <w:b/>
          <w:bCs/>
        </w:rPr>
        <w:t xml:space="preserve">Nepal’s</w:t>
      </w:r>
      <w:r>
        <w:t xml:space="preserve"> </w:t>
      </w:r>
      <w:r>
        <w:t xml:space="preserve">national IFA coverage rose from 23% to 91% (any consumption) and 6% to 71% (90 or more tablets) between 2001 and 2016, after Female Community Health Volunteers were added to existing facility distribution. The rise closely tracked antenatal coverage over the same period (49% to 94%), so the volunteer component cannot be credited alone; the review authors nonetheless propose that platform carry the switch to MMS (DOI 10.1111/mcn.13173).</w:t>
      </w:r>
    </w:p>
    <w:p>
      <w:pPr>
        <w:pStyle w:val="FirstParagraph"/>
      </w:pPr>
      <w:r>
        <w:t xml:space="preserve">National antenatal platforms exist to carry the substitution — India’s Anemia Mukt Bharat and NIPI among them (DOI 10.3390/nu13082745, 10.3389/fendo.2021.619176).</w:t>
      </w:r>
    </w:p>
    <w:p>
      <w:pPr>
        <w:pStyle w:val="BodyText"/>
      </w:pPr>
      <w:r>
        <w:rPr>
          <w:b/>
          <w:bCs/>
        </w:rPr>
        <w:t xml:space="preserve">Policy status is a real barrier.</w:t>
      </w:r>
      <w:r>
        <w:t xml:space="preserve"> </w:t>
      </w:r>
      <w:r>
        <w:t xml:space="preserve">WHO recommends antenatal MMS in the context of rigorous research (PMID 39890230, 42067194), and only 2 of 72 studies were effectiveness trials (PMID 32075071). WHO antenatal guidelines do not recommend replacing IFA with MMS as routine standard of care, citing evidence gaps and the since-corrected data error described in §7.5 — a stance explicitly identified as a barrier to adoption and scale-up despite the trial evidence of benefit (DOI 10.1111/nyas.14121).</w:t>
      </w:r>
    </w:p>
    <w:bookmarkEnd w:id="84"/>
    <w:bookmarkStart w:id="85" w:name="combining-mms-with-other-interventions"/>
    <w:p>
      <w:pPr>
        <w:pStyle w:val="Heading2"/>
      </w:pPr>
      <w:r>
        <w:t xml:space="preserve">7.8 Combining MMS with other interventions</w:t>
      </w:r>
    </w:p>
    <w:p>
      <w:pPr>
        <w:pStyle w:val="FirstParagraph"/>
      </w:pPr>
      <w:r>
        <w:rPr>
          <w:b/>
          <w:bCs/>
        </w:rPr>
        <w:t xml:space="preserve">The best-evidenced pairing is MMS with a demand-side platform, not with another commodity.</w:t>
      </w:r>
      <w:r>
        <w:t xml:space="preserve"> </w:t>
      </w:r>
      <w:r>
        <w:t xml:space="preserve">In Nepal, monthly participatory learning and action women’s groups facilitated by Female Community Health Volunteers, combined with cash or food transfers, raised iron-folate consumption</w:t>
      </w:r>
      <w:r>
        <w:t xml:space="preserve"> </w:t>
      </w:r>
      <w:r>
        <w:rPr>
          <w:b/>
          <w:bCs/>
        </w:rPr>
        <w:t xml:space="preserve">2.5–4.6 fold</w:t>
      </w:r>
      <w:r>
        <w:t xml:space="preserve"> </w:t>
      </w:r>
      <w:r>
        <w:t xml:space="preserve">and improved maternal mid-upper-arm circumference, with cash and food producing complementary but distinct dietary benefits (DOI 10.1093/jn/nxy109). This is the strongest combination result in the MMS corpus and it works on exactly the constraint that binds — adherence.</w:t>
      </w:r>
    </w:p>
    <w:p>
      <w:pPr>
        <w:pStyle w:val="BodyText"/>
      </w:pPr>
      <w:r>
        <w:rPr>
          <w:b/>
          <w:bCs/>
        </w:rPr>
        <w:t xml:space="preserve">Co-delivery with another supplement is feasible but modest.</w:t>
      </w:r>
      <w:r>
        <w:t xml:space="preserve"> </w:t>
      </w:r>
      <w:r>
        <w:t xml:space="preserve">Integrating antenatal calcium into existing IFA programming in rural Ethiopia proved highly acceptable, though adherence did not differ significantly by dosing regimen (DOI 10.9745/ghsp-d-20-00008). Combining balanced energy-protein supplementation with MMS in a single vehicle has been proposed to ease implementation, but as a design proposal rather than a tested result (PMID 35192606).</w:t>
      </w:r>
    </w:p>
    <w:p>
      <w:pPr>
        <w:pStyle w:val="BodyText"/>
      </w:pPr>
      <w:r>
        <w:rPr>
          <w:b/>
          <w:bCs/>
        </w:rPr>
        <w:t xml:space="preserve">Combination with the other two interventions in this review is untested.</w:t>
      </w:r>
      <w:r>
        <w:t xml:space="preserve"> </w:t>
      </w:r>
      <w:r>
        <w:t xml:space="preserve">No trial in the corpus combines antenatal MMS with CMAM or with breastfeeding support. The one adjacent finding is narrow: across 29 LMIC trials, during the 0–6 month exclusive-breastfeeding window only infant multiple micronutrient supplementation and kangaroo care showed linear-growth benefit (PMID 33062941).</w:t>
      </w:r>
    </w:p>
    <w:p>
      <w:pPr>
        <w:pStyle w:val="BodyText"/>
      </w:pPr>
      <w:r>
        <w:rPr>
          <w:b/>
          <w:bCs/>
        </w:rPr>
        <w:t xml:space="preserve">The practical read.</w:t>
      </w:r>
      <w:r>
        <w:t xml:space="preserve"> </w:t>
      </w:r>
      <w:r>
        <w:t xml:space="preserve">MMS combines well with whatever increases antenatal contact and counselling — women’s groups, home visits, family engagement. It has not been shown to combine additively with other nutrition commodities, and the general caution from §5.7 applies: adding tasks to a community platform can displace existing ones.</w:t>
      </w:r>
    </w:p>
    <w:bookmarkEnd w:id="85"/>
    <w:bookmarkStart w:id="86" w:name="where-it-has-worked-2"/>
    <w:p>
      <w:pPr>
        <w:pStyle w:val="Heading2"/>
      </w:pPr>
      <w:r>
        <w:t xml:space="preserve">7.9 Where it has worked</w:t>
      </w:r>
    </w:p>
    <w:p>
      <w:pPr>
        <w:pStyle w:val="FirstParagraph"/>
      </w:pPr>
      <w:r>
        <w:t xml:space="preserve">Country-specific MMS and IFA evidence concentrates in</w:t>
      </w:r>
      <w:r>
        <w:t xml:space="preserve"> </w:t>
      </w:r>
      <w:r>
        <w:rPr>
          <w:b/>
          <w:bCs/>
        </w:rPr>
        <w:t xml:space="preserve">Ethiopia (29 country-specific records), India (22), Bangladesh and Nepal (15 each)</w:t>
      </w:r>
      <w:r>
        <w:t xml:space="preserve">. See §4 for the full cross-intervention analysis.</w:t>
      </w:r>
    </w:p>
    <w:p>
      <w:pPr>
        <w:pStyle w:val="BodyText"/>
      </w:pPr>
      <w:r>
        <w:rPr>
          <w:b/>
          <w:bCs/>
        </w:rPr>
        <w:t xml:space="preserve">Nepal — the clearest coverage turnaround in the corpus.</w:t>
      </w:r>
      <w:r>
        <w:t xml:space="preserve"> </w:t>
      </w:r>
      <w:r>
        <w:t xml:space="preserve">The Iron Intensification Programme scaled from five districts in 2003 to all 75 by 2014 using the Female Community Health Volunteer network of over 50,000 volunteers, each covering 80–100 households. National coverage rose from 23% to 91% for any consumption and 6% to 71% for 90 or more tablets, tracking antenatal coverage as it rose from 49% to 94% and narrowing the gap between them from 26 to 3 percentage points (DOI 10.1111/mcn.13173). The same review proposes this platform for the MMS switch. A direct comparison found Pakistan static at around 45% over a decade while Nepal rose from 23% to 80%, attributing the difference to community volunteer distribution (DOI 10.1371/journal.pone.0112446).</w:t>
      </w:r>
    </w:p>
    <w:p>
      <w:pPr>
        <w:pStyle w:val="BodyText"/>
      </w:pPr>
      <w:r>
        <w:rPr>
          <w:b/>
          <w:bCs/>
        </w:rPr>
        <w:t xml:space="preserve">Pakistan and Nigeria — commitments already made.</w:t>
      </w:r>
      <w:r>
        <w:t xml:space="preserve"> </w:t>
      </w:r>
      <w:r>
        <w:t xml:space="preserve">Both have committed to nationwide MMS scale-up with implementation research under way on the transition through existing IFA channels (PMID 41978151). This is the most concrete policy opening visible anywhere in the review.</w:t>
      </w:r>
    </w:p>
    <w:p>
      <w:pPr>
        <w:pStyle w:val="BodyText"/>
      </w:pPr>
      <w:r>
        <w:rPr>
          <w:b/>
          <w:bCs/>
        </w:rPr>
        <w:t xml:space="preserve">Ethiopia — already piloting the substitution</w:t>
      </w:r>
      <w:r>
        <w:t xml:space="preserve"> </w:t>
      </w:r>
      <w:r>
        <w:t xml:space="preserve">within routine antenatal care through Ministry of Health structures, using staff already experienced with IFA (PMID 39887615).</w:t>
      </w:r>
    </w:p>
    <w:p>
      <w:pPr>
        <w:pStyle w:val="BodyText"/>
      </w:pPr>
      <w:r>
        <w:rPr>
          <w:b/>
          <w:bCs/>
        </w:rPr>
        <w:t xml:space="preserve">India — platform present, delivery inconsistent.</w:t>
      </w:r>
      <w:r>
        <w:t xml:space="preserve"> </w:t>
      </w:r>
      <w:r>
        <w:t xml:space="preserve">National missions exist, but six of eight facilities in one assessment had insufficient IFA stock (PMID 42051413), and national guidance recommending IFA for all women of reproductive age had not translated into frontline practice (DOI 10.1186/s12889-020-08574-z).</w:t>
      </w:r>
    </w:p>
    <w:p>
      <w:pPr>
        <w:pStyle w:val="BodyText"/>
      </w:pPr>
      <w:r>
        <w:rPr>
          <w:b/>
          <w:bCs/>
        </w:rPr>
        <w:t xml:space="preserve">Bangladesh — the falter point quantified.</w:t>
      </w:r>
      <w:r>
        <w:t xml:space="preserve"> </w:t>
      </w:r>
      <w:r>
        <w:t xml:space="preserve">The largest coverage drop-off, 61 percentage points, occurs between receiving any IFA and consuming the recommended 180 tablets — not at antenatal attendance or receipt (DOI 10.3390/nu14153114).</w:t>
      </w:r>
    </w:p>
    <w:bookmarkEnd w:id="86"/>
    <w:bookmarkStart w:id="87" w:name="what-blocks-it-2"/>
    <w:p>
      <w:pPr>
        <w:pStyle w:val="Heading2"/>
      </w:pPr>
      <w:r>
        <w:t xml:space="preserve">7.10 What blocks it</w:t>
      </w:r>
    </w:p>
    <w:p>
      <w:pPr>
        <w:pStyle w:val="FirstParagraph"/>
      </w:pPr>
      <w:r>
        <w:rPr>
          <w:b/>
          <w:bCs/>
        </w:rPr>
        <w:t xml:space="preserve">Side effects and forgetting dominate.</w:t>
      </w:r>
      <w:r>
        <w:t xml:space="preserve"> </w:t>
      </w:r>
      <w:r>
        <w:t xml:space="preserve">Fear of side effects (46.4%) and forgetfulness (30.75%) are the leading reasons for non-adherence (DOI 10.1186/s12978-019-0848-9); gastrointestinal side effects recur across reviews (PMID 39780191, 32110886).</w:t>
      </w:r>
    </w:p>
    <w:p>
      <w:pPr>
        <w:pStyle w:val="BodyText"/>
      </w:pPr>
      <w:r>
        <w:rPr>
          <w:b/>
          <w:bCs/>
        </w:rPr>
        <w:t xml:space="preserve">Beliefs and gatekeeping.</w:t>
      </w:r>
      <w:r>
        <w:t xml:space="preserve"> </w:t>
      </w:r>
      <w:r>
        <w:t xml:space="preserve">Fear that supplements produce a larger baby and a difficult or costly caesarean recurs across South Asia (DOI 10.1186/s12889-020-08574-z); community rumours and male-partner gatekeeping were documented in Niger (PMID 30103529); some women practise</w:t>
      </w:r>
      <w:r>
        <w:t xml:space="preserve"> </w:t>
      </w:r>
      <w:r>
        <w:t xml:space="preserve">“eating down”</w:t>
      </w:r>
      <w:r>
        <w:t xml:space="preserve"> </w:t>
      </w:r>
      <w:r>
        <w:t xml:space="preserve">to limit weight gain out of fear of obstructed labour (PMID 37331760). Limited anaemia awareness is pervasive — participants in one study did not recognise the term, referring instead to</w:t>
      </w:r>
      <w:r>
        <w:t xml:space="preserve"> </w:t>
      </w:r>
      <w:r>
        <w:t xml:space="preserve">“blood levels decreasing”</w:t>
      </w:r>
      <w:r>
        <w:t xml:space="preserve"> </w:t>
      </w:r>
      <w:r>
        <w:t xml:space="preserve">(PMID 41487673).</w:t>
      </w:r>
    </w:p>
    <w:p>
      <w:pPr>
        <w:pStyle w:val="BodyText"/>
      </w:pPr>
      <w:r>
        <w:rPr>
          <w:b/>
          <w:bCs/>
        </w:rPr>
        <w:t xml:space="preserve">Supply.</w:t>
      </w:r>
      <w:r>
        <w:t xml:space="preserve"> </w:t>
      </w:r>
      <w:r>
        <w:t xml:space="preserve">Six of eight Indian facilities had insufficient IFA stock and only half had functional haemoglobin testing (PMID 42051413); a nationwide shortage left 14 of 24 Nepali facilities without IFA (DOI 10.1186/s12913-019-4871-x); Pakistan’s supply to Lady Health Workers is quota-based rather than demand-based and subject to frequent stock-outs (DOI 10.1186/1471-2393-14-344). In Bangladesh only 37.7% of women received IFA free, the rest having to purchase it, and women consumed about half the recommended course — 94 of 180 IFA tablets (DOI 10.1371/journal.pone.0179873).</w:t>
      </w:r>
    </w:p>
    <w:p>
      <w:pPr>
        <w:pStyle w:val="BodyText"/>
      </w:pPr>
      <w:r>
        <w:rPr>
          <w:b/>
          <w:bCs/>
        </w:rPr>
        <w:t xml:space="preserve">Equity.</w:t>
      </w:r>
      <w:r>
        <w:t xml:space="preserve"> </w:t>
      </w:r>
      <w:r>
        <w:t xml:space="preserve">Rural–urban gaps are wide — 45% rural against 80% urban consumption in Pakistani district surveys (DOI 10.1186/1471-2393-14-344); in Nepal, adherence of 90 days or more varied from 67% to 84% by wealth quintile and 56% to 88% by education (DOI 10.1111/mcn.13173).</w:t>
      </w:r>
    </w:p>
    <w:bookmarkEnd w:id="87"/>
    <w:bookmarkStart w:id="88" w:name="comparison-arms"/>
    <w:p>
      <w:pPr>
        <w:pStyle w:val="Heading2"/>
      </w:pPr>
      <w:r>
        <w:t xml:space="preserve">7.11 Comparison arms</w:t>
      </w:r>
    </w:p>
    <w:p>
      <w:pPr>
        <w:pStyle w:val="FirstParagraph"/>
      </w:pPr>
      <w:r>
        <w:rPr>
          <w:b/>
          <w:bCs/>
        </w:rPr>
        <w:t xml:space="preserve">Primary: MMS versus IFA</w:t>
      </w:r>
      <w:r>
        <w:t xml:space="preserve"> </w:t>
      </w:r>
      <w:r>
        <w:t xml:space="preserve">— the transition question, and the dominant comparison in the corpus at 65 records.</w:t>
      </w:r>
    </w:p>
    <w:p>
      <w:pPr>
        <w:pStyle w:val="BodyText"/>
      </w:pPr>
      <w:r>
        <w:rPr>
          <w:b/>
          <w:bCs/>
        </w:rPr>
        <w:t xml:space="preserve">Secondary: SQ-LNS versus IFA/MMS.</w:t>
      </w:r>
      <w:r>
        <w:t xml:space="preserve"> </w:t>
      </w:r>
      <w:r>
        <w:t xml:space="preserve">Prenatal small-quantity lipid-based nutrient supplements improved birthweight (MD +48.7 g), low birthweight (RR 0.89) and newborn stunting (RR 0.83) against IFA, with larger effects in vulnerable subgroups (PMID 39154665) — a commodity-based option if partners want one beyond MMS. Integrating balanced energy-protein supplementation and MMS into a single vehicle has been proposed to ease implementation as countries transition (PMID 35192606).</w:t>
      </w:r>
    </w:p>
    <w:bookmarkEnd w:id="88"/>
    <w:bookmarkStart w:id="89" w:name="how-to-read-this-chapter-2"/>
    <w:p>
      <w:pPr>
        <w:pStyle w:val="Heading2"/>
      </w:pPr>
      <w:r>
        <w:t xml:space="preserve">7.12 How to read this chapter</w:t>
      </w:r>
    </w:p>
    <w:p>
      <w:pPr>
        <w:pStyle w:val="FirstParagraph"/>
      </w:pPr>
      <w:r>
        <w:t xml:space="preserve">Efficacy is settled; the value-add is entirely implementation. The real deliverable is the</w:t>
      </w:r>
      <w:r>
        <w:t xml:space="preserve"> </w:t>
      </w:r>
      <w:r>
        <w:rPr>
          <w:b/>
          <w:bCs/>
        </w:rPr>
        <w:t xml:space="preserve">IFA-to-MMS transition</w:t>
      </w:r>
      <w:r>
        <w:t xml:space="preserve"> </w:t>
      </w:r>
      <w:r>
        <w:t xml:space="preserve">plus lifting adherence from roughly 45% toward target — and the corpus is clear about how to do the second: antenatal contact frequency and counselling quality, not new technology.</w:t>
      </w:r>
    </w:p>
    <w:p>
      <w:pPr>
        <w:pStyle w:val="BodyText"/>
      </w:pPr>
      <w:r>
        <w:t xml:space="preserve">Two caveats for any presentation. First, be precise about mortality (§7.4): MMS reduces stillbirth by about 9%, does not reduce perinatal mortality on good evidence, and has no established effect either way on maternal or longer-term child mortality. The blanket line</w:t>
      </w:r>
      <w:r>
        <w:t xml:space="preserve"> </w:t>
      </w:r>
      <w:r>
        <w:t xml:space="preserve">“improves birth outcomes but not survival”</w:t>
      </w:r>
      <w:r>
        <w:t xml:space="preserve"> </w:t>
      </w:r>
      <w:r>
        <w:t xml:space="preserve">overstates the case and invites correction. Second, health-system context modulates the benefit: MMS is not contraindicated by low facility delivery, but its gains are larger where antenatal and delivery care are stronger, which makes it a country-selection consideration.</w:t>
      </w:r>
    </w:p>
    <w:p>
      <w:pPr>
        <w:pStyle w:val="BodyText"/>
      </w:pPr>
      <w:r>
        <w:t xml:space="preserve">A note on scope: preconception folic-acid and IFA reviews (PMID 32110886, 37131925), fortification (DOI 10.1186/2046-4053-2-67), zinc (DOI 10.1111/j.1365-3016.2012.01289.x) and anaemia-determinant reviews were retrieved by comparator and population terms. They are context, not core MMS-versus-IFA evidence, and are not counted toward the rating.</w:t>
      </w:r>
    </w:p>
    <w:bookmarkEnd w:id="89"/>
    <w:bookmarkEnd w:id="90"/>
    <w:bookmarkStart w:id="95" w:name="limitations-and-open-decisions"/>
    <w:p>
      <w:pPr>
        <w:pStyle w:val="Heading1"/>
      </w:pPr>
      <w:r>
        <w:t xml:space="preserve">8. Limitations and open decisions</w:t>
      </w:r>
    </w:p>
    <w:bookmarkStart w:id="91" w:name="what-this-review-does-not-cover-1"/>
    <w:p>
      <w:pPr>
        <w:pStyle w:val="Heading2"/>
      </w:pPr>
      <w:r>
        <w:t xml:space="preserve">8.1 What this review does not cover</w:t>
      </w:r>
    </w:p>
    <w:p>
      <w:pPr>
        <w:pStyle w:val="FirstParagraph"/>
      </w:pPr>
      <w:r>
        <w:rPr>
          <w:b/>
          <w:bCs/>
        </w:rPr>
        <w:t xml:space="preserve">Cost and cost-effectiveness.</w:t>
      </w:r>
      <w:r>
        <w:t xml:space="preserve"> </w:t>
      </w:r>
      <w:r>
        <w:t xml:space="preserve">Excluded by design from queries, extraction and synthesis. This was a deliberate sequencing choice — evidence first, cost second — and cost is the subject of a separate phase. It is nevertheless a real gap for a scaling decision, and it will bear unevenly: commodity-heavy interventions (RUTF for CMAM, tablets for MMS) are far more cost-sensitive than counselling-based ones. Two findings in this report are effectively cost findings in disguise and should be carried into that phase: OptiMA achieves non-inferior recovery with about 46% less RUTF, and reducing the dairy content of RUTF — the main cost driver — measurably worsens recovery.</w:t>
      </w:r>
    </w:p>
    <w:p>
      <w:pPr>
        <w:pStyle w:val="BodyText"/>
      </w:pPr>
      <w:r>
        <w:rPr>
          <w:b/>
          <w:bCs/>
        </w:rPr>
        <w:t xml:space="preserve">A country recommendation or ranking.</w:t>
      </w:r>
      <w:r>
        <w:t xml:space="preserve"> </w:t>
      </w:r>
      <w:r>
        <w:t xml:space="preserve">Section 4 describes what is known about individual countries and stops there. An earlier draft scored and ranked them; that was removed because the ordering proved sensitive to measurement choices with no evidential basis (§4.1). The decisive factors — fragility and security, partner operational footprint, government appetite, financing — are not in the corpus in any case.</w:t>
      </w:r>
    </w:p>
    <w:p>
      <w:pPr>
        <w:pStyle w:val="BodyText"/>
      </w:pPr>
      <w:r>
        <w:rPr>
          <w:b/>
          <w:bCs/>
        </w:rPr>
        <w:t xml:space="preserve">Complementary feeding.</w:t>
      </w:r>
      <w:r>
        <w:t xml:space="preserve"> </w:t>
      </w:r>
      <w:r>
        <w:t xml:space="preserve">Both CARE technical experts advocated pairing counselling with a food or nutrient component. It was scoped out to hold the review to three interventions.</w:t>
      </w:r>
      <w:r>
        <w:t xml:space="preserve"> </w:t>
      </w:r>
      <w:r>
        <w:rPr>
          <w:b/>
          <w:bCs/>
        </w:rPr>
        <w:t xml:space="preserve">This needs a decision from partners</w:t>
      </w:r>
      <w:r>
        <w:t xml:space="preserve">, since it was raised independently by two reviewers and sits adjacent to the breastfeeding community package.</w:t>
      </w:r>
    </w:p>
    <w:p>
      <w:pPr>
        <w:pStyle w:val="BodyText"/>
      </w:pPr>
      <w:r>
        <w:rPr>
          <w:b/>
          <w:bCs/>
        </w:rPr>
        <w:t xml:space="preserve">652 abstract-only papers remain unextracted.</w:t>
      </w:r>
      <w:r>
        <w:t xml:space="preserve"> </w:t>
      </w:r>
      <w:r>
        <w:t xml:space="preserve">All 981 full-text papers are complete, so the full-text evidence base is closed; the remainder would add breadth rather than depth. The practical effect is that findings resting on a single small study may be under-represented, while the meta-analytic backbone is unaffected.</w:t>
      </w:r>
    </w:p>
    <w:bookmarkEnd w:id="91"/>
    <w:bookmarkStart w:id="92" w:name="limits-of-the-evidence-base"/>
    <w:p>
      <w:pPr>
        <w:pStyle w:val="Heading2"/>
      </w:pPr>
      <w:r>
        <w:t xml:space="preserve">8.2 Limits of the evidence base</w:t>
      </w:r>
    </w:p>
    <w:p>
      <w:pPr>
        <w:pStyle w:val="FirstParagraph"/>
      </w:pPr>
      <w:r>
        <w:rPr>
          <w:b/>
          <w:bCs/>
        </w:rPr>
        <w:t xml:space="preserve">The active-control ceiling on CMAM.</w:t>
      </w:r>
      <w:r>
        <w:t xml:space="preserve"> </w:t>
      </w:r>
      <w:r>
        <w:t xml:space="preserve">Almost no trial compares treatment to no treatment, because that is no longer ethical. The measured benefit therefore understates the true benefit. This is a property of the literature, not a judgment on the intervention — and it is one reason this report no longer assigns comparative grades (§2.5).</w:t>
      </w:r>
    </w:p>
    <w:p>
      <w:pPr>
        <w:pStyle w:val="BodyText"/>
      </w:pPr>
      <w:r>
        <w:rPr>
          <w:b/>
          <w:bCs/>
        </w:rPr>
        <w:t xml:space="preserve">Geographic concentration.</w:t>
      </w:r>
      <w:r>
        <w:t xml:space="preserve"> </w:t>
      </w:r>
      <w:r>
        <w:t xml:space="preserve">CMAM evidence concentrates in sub-Saharan Africa; breastfeeding evidence remains high-income-skewed in the skin-to-skin and at-scale reviews, with only 17.4% of 115 at-scale reviews being LMIC-only. LMIC-specific estimates are flagged separately wherever the sources permitted separation.</w:t>
      </w:r>
    </w:p>
    <w:p>
      <w:pPr>
        <w:pStyle w:val="BodyText"/>
      </w:pPr>
      <w:r>
        <w:rPr>
          <w:b/>
          <w:bCs/>
        </w:rPr>
        <w:t xml:space="preserve">Fidelity is rarely documented.</w:t>
      </w:r>
      <w:r>
        <w:t xml:space="preserve"> </w:t>
      </w:r>
      <w:r>
        <w:t xml:space="preserve">The contact-dose finding for breastfeeding — that 4–8 postnatal contacts outperform fewer — rests on trials of which only 5 of 17 reported the contacts participants actually received. The target can be specified; adherence to it is largely unverified.</w:t>
      </w:r>
    </w:p>
    <w:p>
      <w:pPr>
        <w:pStyle w:val="BodyText"/>
      </w:pPr>
      <w:r>
        <w:rPr>
          <w:b/>
          <w:bCs/>
        </w:rPr>
        <w:t xml:space="preserve">Attribution in bundled interventions.</w:t>
      </w:r>
      <w:r>
        <w:t xml:space="preserve"> </w:t>
      </w:r>
      <w:r>
        <w:t xml:space="preserve">The neonatal-mortality benefit of postnatal home visits (RR 0.76) comes from packages delivering breastfeeding support alongside other newborn care. The breastfeeding-specific share cannot be isolated. Kangaroo Mother Care is cleaner, since skin-to-skin contact and breastfeeding are its mechanism.</w:t>
      </w:r>
    </w:p>
    <w:p>
      <w:pPr>
        <w:pStyle w:val="BodyText"/>
      </w:pPr>
      <w:r>
        <w:rPr>
          <w:b/>
          <w:bCs/>
        </w:rPr>
        <w:t xml:space="preserve">Country tags are imperfect.</w:t>
      </w:r>
      <w:r>
        <w:t xml:space="preserve"> </w:t>
      </w:r>
      <w:r>
        <w:t xml:space="preserve">582 of 648 on-topic records carry a usable country tag; 36 carry only regional or pooled descriptors and 30 none. Multi-country reviews are reported separately from country-specific studies precisely because they distort country-level comparison (§4.2), which means the country-specific evidence base is smaller than raw record counts imply.</w:t>
      </w:r>
    </w:p>
    <w:bookmarkEnd w:id="92"/>
    <w:bookmarkStart w:id="93" w:name="limits-of-the-method"/>
    <w:p>
      <w:pPr>
        <w:pStyle w:val="Heading2"/>
      </w:pPr>
      <w:r>
        <w:t xml:space="preserve">8.3 Limits of the method</w:t>
      </w:r>
    </w:p>
    <w:p>
      <w:pPr>
        <w:pStyle w:val="FirstParagraph"/>
      </w:pPr>
      <w:r>
        <w:t xml:space="preserve">This review was produced by an AI-assisted pipeline: automated retrieval, structured per-study extraction, grounded synthesis, and automated verification. Its distinctive claim is traceability — every number ties to a specific record — and that claim should be understood precisely.</w:t>
      </w:r>
    </w:p>
    <w:p>
      <w:pPr>
        <w:pStyle w:val="BodyText"/>
      </w:pPr>
      <w:r>
        <w:rPr>
          <w:b/>
          <w:bCs/>
        </w:rPr>
        <w:t xml:space="preserve">What verification establishes:</w:t>
      </w:r>
      <w:r>
        <w:t xml:space="preserve"> </w:t>
      </w:r>
      <w:r>
        <w:t xml:space="preserve">that a cited number appears in the record cited, and that no number in the report is untraceable to the corpus.</w:t>
      </w:r>
    </w:p>
    <w:p>
      <w:pPr>
        <w:pStyle w:val="BodyText"/>
      </w:pPr>
      <w:r>
        <w:rPr>
          <w:b/>
          <w:bCs/>
        </w:rPr>
        <w:t xml:space="preserve">What it does not establish:</w:t>
      </w:r>
      <w:r>
        <w:t xml:space="preserve"> </w:t>
      </w:r>
      <w:r>
        <w:t xml:space="preserve">that the underlying study is correct; that a pooled estimate is well-constructed; that the interpretation drawn from a finding is the only reasonable one; or that the retrieval found everything relevant. A number can be faithfully transcribed from a flawed source.</w:t>
      </w:r>
    </w:p>
    <w:p>
      <w:pPr>
        <w:pStyle w:val="BodyText"/>
      </w:pPr>
      <w:r>
        <w:rPr>
          <w:b/>
          <w:bCs/>
        </w:rPr>
        <w:t xml:space="preserve">Known specific risks.</w:t>
      </w:r>
      <w:r>
        <w:t xml:space="preserve"> </w:t>
      </w:r>
      <w:r>
        <w:t xml:space="preserve">Retrieval draws on PubMed and OpenAlex; grey literature, government programme documentation and NGO evaluations are under-represented, which matters disproportionately for implementation questions. Screening for on-topic status was model-performed. Cross-review trial overlap is captured for individual reviews — the twin-publication problem in Chapter 5 was caught this way — but systematic detection of double-counting across reviews is not yet implemented, so where several reviews pool overlapping trials, apparent corroboration may be partly illusory.</w:t>
      </w:r>
    </w:p>
    <w:p>
      <w:pPr>
        <w:pStyle w:val="BodyText"/>
      </w:pPr>
      <w:r>
        <w:rPr>
          <w:b/>
          <w:bCs/>
        </w:rPr>
        <w:t xml:space="preserve">Where the method demonstrably helped.</w:t>
      </w:r>
      <w:r>
        <w:t xml:space="preserve"> </w:t>
      </w:r>
      <w:r>
        <w:t xml:space="preserve">Full-text extraction surfaced the WHO technical correction that overturned the MMS home-birth safety signal, which an abstract-level read would have missed and which an earlier draft had treated as near-disqualifying. It also identified the twin publication of one 42-study evidence base as two apparently independent reviews.</w:t>
      </w:r>
    </w:p>
    <w:bookmarkEnd w:id="93"/>
    <w:bookmarkStart w:id="94" w:name="open-decisions-for-partners"/>
    <w:p>
      <w:pPr>
        <w:pStyle w:val="Heading2"/>
      </w:pPr>
      <w:r>
        <w:t xml:space="preserve">8.4 Open decisions for partners</w:t>
      </w:r>
    </w:p>
    <w:p>
      <w:pPr>
        <w:pStyle w:val="Compact"/>
        <w:numPr>
          <w:ilvl w:val="0"/>
          <w:numId w:val="1012"/>
        </w:numPr>
      </w:pPr>
      <w:r>
        <w:rPr>
          <w:b/>
          <w:bCs/>
        </w:rPr>
        <w:t xml:space="preserve">Does complementary feeding come back into scope?</w:t>
      </w:r>
      <w:r>
        <w:t xml:space="preserve"> </w:t>
      </w:r>
      <w:r>
        <w:t xml:space="preserve">Raised independently by two CARE technical experts. Adding it would extend the review; leaving it out means the behavioural package addresses breastfeeding without the food component partners asked to pair with it.</w:t>
      </w:r>
    </w:p>
    <w:p>
      <w:pPr>
        <w:pStyle w:val="Compact"/>
        <w:numPr>
          <w:ilvl w:val="0"/>
          <w:numId w:val="1012"/>
        </w:numPr>
      </w:pPr>
      <w:r>
        <w:rPr>
          <w:b/>
          <w:bCs/>
        </w:rPr>
        <w:t xml:space="preserve">Country pre-commitments or exclusions.</w:t>
      </w:r>
      <w:r>
        <w:t xml:space="preserve"> </w:t>
      </w:r>
      <w:r>
        <w:t xml:space="preserve">Are there countries already ruled in or out for reasons outside this evidence base? That would materially change how §4 should be read.</w:t>
      </w:r>
    </w:p>
    <w:p>
      <w:pPr>
        <w:pStyle w:val="Compact"/>
        <w:numPr>
          <w:ilvl w:val="0"/>
          <w:numId w:val="1012"/>
        </w:numPr>
      </w:pPr>
      <w:r>
        <w:rPr>
          <w:b/>
          <w:bCs/>
        </w:rPr>
        <w:t xml:space="preserve">Scope of the co-design — one intervention or a package?</w:t>
      </w:r>
      <w:r>
        <w:t xml:space="preserve"> </w:t>
      </w:r>
      <w:r>
        <w:t xml:space="preserve">The evidence supports a combined design (all three run through the same CHW platform), but a single-intervention focus would change which countries are most relevant. Nepal, for instance, has a thin malnutrition-treatment evidence base but the strongest supplementation track record in the corpus.</w:t>
      </w:r>
    </w:p>
    <w:p>
      <w:pPr>
        <w:pStyle w:val="Compact"/>
        <w:numPr>
          <w:ilvl w:val="0"/>
          <w:numId w:val="1012"/>
        </w:numPr>
      </w:pPr>
      <w:r>
        <w:rPr>
          <w:b/>
          <w:bCs/>
        </w:rPr>
        <w:t xml:space="preserve">Emergency contexts.</w:t>
      </w:r>
      <w:r>
        <w:t xml:space="preserve"> </w:t>
      </w:r>
      <w:r>
        <w:t xml:space="preserve">Development settings were treated as primary. Partners flagged emergency-specific gaps in both breastfeeding and CMAM; the humanitarian evidence retrieved here (the Niger simplified-protocol results, for instance) is tagged but not developed as a separate analysis.</w:t>
      </w:r>
    </w:p>
    <w:p>
      <w:pPr>
        <w:pStyle w:val="Compact"/>
        <w:numPr>
          <w:ilvl w:val="0"/>
          <w:numId w:val="1012"/>
        </w:numPr>
      </w:pPr>
      <w:r>
        <w:rPr>
          <w:b/>
          <w:bCs/>
        </w:rPr>
        <w:t xml:space="preserve">Timing of the cost phase.</w:t>
      </w:r>
      <w:r>
        <w:t xml:space="preserve"> </w:t>
      </w:r>
      <w:r>
        <w:t xml:space="preserve">Whether cost-effectiveness runs before or after the country decision.</w:t>
      </w:r>
    </w:p>
    <w:bookmarkEnd w:id="94"/>
    <w:bookmarkEnd w:id="95"/>
    <w:bookmarkStart w:id="106" w:name="appendices"/>
    <w:p>
      <w:pPr>
        <w:pStyle w:val="Heading1"/>
      </w:pPr>
      <w:r>
        <w:t xml:space="preserve">9. Appendices</w:t>
      </w:r>
    </w:p>
    <w:bookmarkStart w:id="100" w:name="appendix-a-glossary"/>
    <w:p>
      <w:pPr>
        <w:pStyle w:val="Heading2"/>
      </w:pPr>
      <w:r>
        <w:t xml:space="preserve">Appendix A — Glossary</w:t>
      </w:r>
    </w:p>
    <w:p>
      <w:pPr>
        <w:pStyle w:val="FirstParagraph"/>
      </w:pPr>
      <w:r>
        <w:t xml:space="preserve">Terms are expanded on first use in the text; this is the consolidated list.</w:t>
      </w:r>
    </w:p>
    <w:bookmarkStart w:id="96" w:name="the-interventions"/>
    <w:p>
      <w:pPr>
        <w:pStyle w:val="Heading3"/>
      </w:pPr>
      <w:r>
        <w:t xml:space="preserve">The interventions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CMAM</w:t>
            </w:r>
          </w:p>
        </w:tc>
        <w:tc>
          <w:tcPr/>
          <w:p>
            <w:pPr>
              <w:pStyle w:val="Compact"/>
            </w:pPr>
            <w:r>
              <w:t xml:space="preserve">Community-based Management of Acute Malnutrition — treating already-malnourished children at home rather than in hospital</w:t>
            </w:r>
          </w:p>
        </w:tc>
      </w:tr>
      <w:tr>
        <w:tc>
          <w:tcPr/>
          <w:p>
            <w:pPr>
              <w:pStyle w:val="Compact"/>
            </w:pPr>
            <w:r>
              <w:rPr>
                <w:b/>
                <w:bCs/>
              </w:rPr>
              <w:t xml:space="preserve">SAM</w:t>
            </w:r>
          </w:p>
        </w:tc>
        <w:tc>
          <w:tcPr/>
          <w:p>
            <w:pPr>
              <w:pStyle w:val="Compact"/>
            </w:pPr>
            <w:r>
              <w:t xml:space="preserve">Severe Acute Malnutrition — the immediately life-threatening form of wasting; roughly 11% under-five case mortality in Africa</w:t>
            </w:r>
          </w:p>
        </w:tc>
      </w:tr>
      <w:tr>
        <w:tc>
          <w:tcPr/>
          <w:p>
            <w:pPr>
              <w:pStyle w:val="Compact"/>
            </w:pPr>
            <w:r>
              <w:rPr>
                <w:b/>
                <w:bCs/>
              </w:rPr>
              <w:t xml:space="preserve">MAM</w:t>
            </w:r>
          </w:p>
        </w:tc>
        <w:tc>
          <w:tcPr/>
          <w:p>
            <w:pPr>
              <w:pStyle w:val="Compact"/>
            </w:pPr>
            <w:r>
              <w:t xml:space="preserve">Moderate Acute Malnutrition — at risk, but not in immediate danger</w:t>
            </w:r>
          </w:p>
        </w:tc>
      </w:tr>
      <w:tr>
        <w:tc>
          <w:tcPr/>
          <w:p>
            <w:pPr>
              <w:pStyle w:val="Compact"/>
            </w:pPr>
            <w:r>
              <w:rPr>
                <w:b/>
                <w:bCs/>
              </w:rPr>
              <w:t xml:space="preserve">RUTF</w:t>
            </w:r>
          </w:p>
        </w:tc>
        <w:tc>
          <w:tcPr/>
          <w:p>
            <w:pPr>
              <w:pStyle w:val="Compact"/>
            </w:pPr>
            <w:r>
              <w:t xml:space="preserve">Ready-to-Use Therapeutic Food — fortified paste for treating SAM at home; needs no water, refrigeration or cooking. The main commodity cost</w:t>
            </w:r>
          </w:p>
        </w:tc>
      </w:tr>
      <w:tr>
        <w:tc>
          <w:tcPr/>
          <w:p>
            <w:pPr>
              <w:pStyle w:val="Compact"/>
            </w:pPr>
            <w:r>
              <w:rPr>
                <w:b/>
                <w:bCs/>
              </w:rPr>
              <w:t xml:space="preserve">RUSF</w:t>
            </w:r>
          </w:p>
        </w:tc>
        <w:tc>
          <w:tcPr/>
          <w:p>
            <w:pPr>
              <w:pStyle w:val="Compact"/>
            </w:pPr>
            <w:r>
              <w:t xml:space="preserve">Ready-to-Use Supplementary Food — the lighter equivalent, for MAM</w:t>
            </w:r>
          </w:p>
        </w:tc>
      </w:tr>
      <w:tr>
        <w:tc>
          <w:tcPr/>
          <w:p>
            <w:pPr>
              <w:pStyle w:val="Compact"/>
            </w:pPr>
            <w:r>
              <w:rPr>
                <w:b/>
                <w:bCs/>
              </w:rPr>
              <w:t xml:space="preserve">LNS / SQ-LNS</w:t>
            </w:r>
          </w:p>
        </w:tc>
        <w:tc>
          <w:tcPr/>
          <w:p>
            <w:pPr>
              <w:pStyle w:val="Compact"/>
            </w:pPr>
            <w:r>
              <w:t xml:space="preserve">Lipid-based Nutrient Supplements; SQ = small-quantity. Used for moderate malnutrition and prevention</w:t>
            </w:r>
          </w:p>
        </w:tc>
      </w:tr>
      <w:tr>
        <w:tc>
          <w:tcPr/>
          <w:p>
            <w:pPr>
              <w:pStyle w:val="Compact"/>
            </w:pPr>
            <w:r>
              <w:rPr>
                <w:b/>
                <w:bCs/>
              </w:rPr>
              <w:t xml:space="preserve">F75 / F100</w:t>
            </w:r>
          </w:p>
        </w:tc>
        <w:tc>
          <w:tcPr/>
          <w:p>
            <w:pPr>
              <w:pStyle w:val="Compact"/>
            </w:pPr>
            <w:r>
              <w:t xml:space="preserve">Therapeutic milks used to stabilise complicated cases as inpatients</w:t>
            </w:r>
          </w:p>
        </w:tc>
      </w:tr>
      <w:tr>
        <w:tc>
          <w:tcPr/>
          <w:p>
            <w:pPr>
              <w:pStyle w:val="Compact"/>
            </w:pPr>
            <w:r>
              <w:rPr>
                <w:b/>
                <w:bCs/>
              </w:rPr>
              <w:t xml:space="preserve">MUAC</w:t>
            </w:r>
          </w:p>
        </w:tc>
        <w:tc>
          <w:tcPr/>
          <w:p>
            <w:pPr>
              <w:pStyle w:val="Compact"/>
            </w:pPr>
            <w:r>
              <w:t xml:space="preserve">Mid-Upper-Arm Circumference — colour-coded tape screening; the field diagnostic for acute malnutrition</w:t>
            </w:r>
          </w:p>
        </w:tc>
      </w:tr>
      <w:tr>
        <w:tc>
          <w:tcPr/>
          <w:p>
            <w:pPr>
              <w:pStyle w:val="Compact"/>
            </w:pPr>
            <w:r>
              <w:rPr>
                <w:b/>
                <w:bCs/>
              </w:rPr>
              <w:t xml:space="preserve">OTP</w:t>
            </w:r>
          </w:p>
        </w:tc>
        <w:tc>
          <w:tcPr/>
          <w:p>
            <w:pPr>
              <w:pStyle w:val="Compact"/>
            </w:pPr>
            <w:r>
              <w:t xml:space="preserve">Outpatient Therapeutic Programme — the treat-at-home service</w:t>
            </w:r>
          </w:p>
        </w:tc>
      </w:tr>
      <w:tr>
        <w:tc>
          <w:tcPr/>
          <w:p>
            <w:pPr>
              <w:pStyle w:val="Compact"/>
            </w:pPr>
            <w:r>
              <w:rPr>
                <w:b/>
                <w:bCs/>
              </w:rPr>
              <w:t xml:space="preserve">ComPAS / OptiMA</w:t>
            </w:r>
          </w:p>
        </w:tc>
        <w:tc>
          <w:tcPr/>
          <w:p>
            <w:pPr>
              <w:pStyle w:val="Compact"/>
            </w:pPr>
            <w:r>
              <w:t xml:space="preserve">Simplified protocols. ComPAS merges SAM and MAM into one product; OptiMA tapers RUTF dosing</w:t>
            </w:r>
          </w:p>
        </w:tc>
      </w:tr>
      <w:tr>
        <w:tc>
          <w:tcPr/>
          <w:p>
            <w:pPr>
              <w:pStyle w:val="Compact"/>
            </w:pPr>
            <w:r>
              <w:rPr>
                <w:b/>
                <w:bCs/>
              </w:rPr>
              <w:t xml:space="preserve">MMS</w:t>
            </w:r>
          </w:p>
        </w:tc>
        <w:tc>
          <w:tcPr/>
          <w:p>
            <w:pPr>
              <w:pStyle w:val="Compact"/>
            </w:pPr>
            <w:r>
              <w:t xml:space="preserve">Multiple Micronutrient Supplementation — the antenatal multivitamin tablet</w:t>
            </w:r>
          </w:p>
        </w:tc>
      </w:tr>
      <w:tr>
        <w:tc>
          <w:tcPr/>
          <w:p>
            <w:pPr>
              <w:pStyle w:val="Compact"/>
            </w:pPr>
            <w:r>
              <w:rPr>
                <w:b/>
                <w:bCs/>
              </w:rPr>
              <w:t xml:space="preserve">IFA</w:t>
            </w:r>
          </w:p>
        </w:tc>
        <w:tc>
          <w:tcPr/>
          <w:p>
            <w:pPr>
              <w:pStyle w:val="Compact"/>
            </w:pPr>
            <w:r>
              <w:t xml:space="preserve">Iron and Folic Acid — the older, cheaper antenatal tablet MMS would replace. The IFA-to-MMS switch is the central policy question</w:t>
            </w:r>
          </w:p>
        </w:tc>
      </w:tr>
      <w:tr>
        <w:tc>
          <w:tcPr/>
          <w:p>
            <w:pPr>
              <w:pStyle w:val="Compact"/>
            </w:pPr>
            <w:r>
              <w:rPr>
                <w:b/>
                <w:bCs/>
              </w:rPr>
              <w:t xml:space="preserve">UNIMMAP</w:t>
            </w:r>
          </w:p>
        </w:tc>
        <w:tc>
          <w:tcPr/>
          <w:p>
            <w:pPr>
              <w:pStyle w:val="Compact"/>
            </w:pPr>
            <w:r>
              <w:t xml:space="preserve">The standard 15-micronutrient MMS formulation</w:t>
            </w:r>
          </w:p>
        </w:tc>
      </w:tr>
      <w:tr>
        <w:tc>
          <w:tcPr/>
          <w:p>
            <w:pPr>
              <w:pStyle w:val="Compact"/>
            </w:pPr>
            <w:r>
              <w:rPr>
                <w:b/>
                <w:bCs/>
              </w:rPr>
              <w:t xml:space="preserve">BEP</w:t>
            </w:r>
          </w:p>
        </w:tc>
        <w:tc>
          <w:tcPr/>
          <w:p>
            <w:pPr>
              <w:pStyle w:val="Compact"/>
            </w:pPr>
            <w:r>
              <w:t xml:space="preserve">Balanced Energy-Protein supplementation</w:t>
            </w:r>
          </w:p>
        </w:tc>
      </w:tr>
      <w:tr>
        <w:tc>
          <w:tcPr/>
          <w:p>
            <w:pPr>
              <w:pStyle w:val="Compact"/>
            </w:pPr>
            <w:r>
              <w:rPr>
                <w:b/>
                <w:bCs/>
              </w:rPr>
              <w:t xml:space="preserve">KMC</w:t>
            </w:r>
          </w:p>
        </w:tc>
        <w:tc>
          <w:tcPr/>
          <w:p>
            <w:pPr>
              <w:pStyle w:val="Compact"/>
            </w:pPr>
            <w:r>
              <w:t xml:space="preserve">Kangaroo Mother Care — continuous skin-to-skin holding of the newborn. Cuts neonatal mortality 32% at high certainty</w:t>
            </w:r>
          </w:p>
        </w:tc>
      </w:tr>
      <w:tr>
        <w:tc>
          <w:tcPr/>
          <w:p>
            <w:pPr>
              <w:pStyle w:val="Compact"/>
            </w:pPr>
            <w:r>
              <w:rPr>
                <w:b/>
                <w:bCs/>
              </w:rPr>
              <w:t xml:space="preserve">EBF</w:t>
            </w:r>
          </w:p>
        </w:tc>
        <w:tc>
          <w:tcPr/>
          <w:p>
            <w:pPr>
              <w:pStyle w:val="Compact"/>
            </w:pPr>
            <w:r>
              <w:t xml:space="preserve">Exclusive Breastfeeding — breast milk only, no water or other food</w:t>
            </w:r>
          </w:p>
        </w:tc>
      </w:tr>
      <w:tr>
        <w:tc>
          <w:tcPr/>
          <w:p>
            <w:pPr>
              <w:pStyle w:val="Compact"/>
            </w:pPr>
            <w:r>
              <w:rPr>
                <w:b/>
                <w:bCs/>
              </w:rPr>
              <w:t xml:space="preserve">EIBF</w:t>
            </w:r>
          </w:p>
        </w:tc>
        <w:tc>
          <w:tcPr/>
          <w:p>
            <w:pPr>
              <w:pStyle w:val="Compact"/>
            </w:pPr>
            <w:r>
              <w:t xml:space="preserve">Early Initiation of Breastfeeding — first feed within one hour of birth</w:t>
            </w:r>
          </w:p>
        </w:tc>
      </w:tr>
      <w:tr>
        <w:tc>
          <w:tcPr/>
          <w:p>
            <w:pPr>
              <w:pStyle w:val="Compact"/>
            </w:pPr>
            <w:r>
              <w:rPr>
                <w:b/>
                <w:bCs/>
              </w:rPr>
              <w:t xml:space="preserve">BFHI</w:t>
            </w:r>
          </w:p>
        </w:tc>
        <w:tc>
          <w:tcPr/>
          <w:p>
            <w:pPr>
              <w:pStyle w:val="Compact"/>
            </w:pPr>
            <w:r>
              <w:t xml:space="preserve">Baby-Friendly Hospital Initiative — facility certification for breastfeeding practice</w:t>
            </w:r>
          </w:p>
        </w:tc>
      </w:tr>
      <w:tr>
        <w:tc>
          <w:tcPr/>
          <w:p>
            <w:pPr>
              <w:pStyle w:val="Compact"/>
            </w:pPr>
            <w:r>
              <w:rPr>
                <w:b/>
                <w:bCs/>
              </w:rPr>
              <w:t xml:space="preserve">IYCF</w:t>
            </w:r>
          </w:p>
        </w:tc>
        <w:tc>
          <w:tcPr/>
          <w:p>
            <w:pPr>
              <w:pStyle w:val="Compact"/>
            </w:pPr>
            <w:r>
              <w:t xml:space="preserve">Infant and Young Child Feeding — the standard counselling curriculum</w:t>
            </w:r>
          </w:p>
        </w:tc>
      </w:tr>
      <w:tr>
        <w:tc>
          <w:tcPr/>
          <w:p>
            <w:pPr>
              <w:pStyle w:val="Compact"/>
            </w:pPr>
            <w:r>
              <w:rPr>
                <w:b/>
                <w:bCs/>
              </w:rPr>
              <w:t xml:space="preserve">SBCC</w:t>
            </w:r>
          </w:p>
        </w:tc>
        <w:tc>
          <w:tcPr/>
          <w:p>
            <w:pPr>
              <w:pStyle w:val="Compact"/>
            </w:pPr>
            <w:r>
              <w:t xml:space="preserve">Social and Behaviour Change Communication — counselling, education and campaigns</w:t>
            </w:r>
          </w:p>
        </w:tc>
      </w:tr>
    </w:tbl>
    <w:bookmarkEnd w:id="96"/>
    <w:bookmarkStart w:id="97" w:name="delivery-and-people"/>
    <w:p>
      <w:pPr>
        <w:pStyle w:val="Heading3"/>
      </w:pPr>
      <w:r>
        <w:t xml:space="preserve">Delivery and people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CHW</w:t>
            </w:r>
          </w:p>
        </w:tc>
        <w:tc>
          <w:tcPr/>
          <w:p>
            <w:pPr>
              <w:pStyle w:val="Compact"/>
            </w:pPr>
            <w:r>
              <w:t xml:space="preserve">Community Health Worker — locally recruited, lightly trained, often part-time or unpaid. The central delivery platform in all three interventions</w:t>
            </w:r>
          </w:p>
        </w:tc>
      </w:tr>
      <w:tr>
        <w:tc>
          <w:tcPr/>
          <w:p>
            <w:pPr>
              <w:pStyle w:val="Compact"/>
            </w:pPr>
            <w:r>
              <w:rPr>
                <w:b/>
                <w:bCs/>
              </w:rPr>
              <w:t xml:space="preserve">ANC</w:t>
            </w:r>
          </w:p>
        </w:tc>
        <w:tc>
          <w:tcPr/>
          <w:p>
            <w:pPr>
              <w:pStyle w:val="Compact"/>
            </w:pPr>
            <w:r>
              <w:t xml:space="preserve">Antenatal Care — pregnancy check-up visits; the delivery channel for MMS</w:t>
            </w:r>
          </w:p>
        </w:tc>
      </w:tr>
      <w:tr>
        <w:tc>
          <w:tcPr/>
          <w:p>
            <w:pPr>
              <w:pStyle w:val="Compact"/>
            </w:pPr>
            <w:r>
              <w:rPr>
                <w:b/>
                <w:bCs/>
              </w:rPr>
              <w:t xml:space="preserve">iCCM</w:t>
            </w:r>
          </w:p>
        </w:tc>
        <w:tc>
          <w:tcPr/>
          <w:p>
            <w:pPr>
              <w:pStyle w:val="Compact"/>
            </w:pPr>
            <w:r>
              <w:t xml:space="preserve">Integrated Community Case Management — the standard community package for childhood illness</w:t>
            </w:r>
          </w:p>
        </w:tc>
      </w:tr>
      <w:tr>
        <w:tc>
          <w:tcPr/>
          <w:p>
            <w:pPr>
              <w:pStyle w:val="Compact"/>
            </w:pPr>
            <w:r>
              <w:rPr>
                <w:b/>
                <w:bCs/>
              </w:rPr>
              <w:t xml:space="preserve">LMIC</w:t>
            </w:r>
          </w:p>
        </w:tc>
        <w:tc>
          <w:tcPr/>
          <w:p>
            <w:pPr>
              <w:pStyle w:val="Compact"/>
            </w:pPr>
            <w:r>
              <w:t xml:space="preserve">Low- and Middle-Income Country</w:t>
            </w:r>
          </w:p>
        </w:tc>
      </w:tr>
      <w:tr>
        <w:tc>
          <w:tcPr/>
          <w:p>
            <w:pPr>
              <w:pStyle w:val="Compact"/>
            </w:pPr>
            <w:r>
              <w:rPr>
                <w:b/>
                <w:bCs/>
              </w:rPr>
              <w:t xml:space="preserve">HEW / WDA</w:t>
            </w:r>
          </w:p>
        </w:tc>
        <w:tc>
          <w:tcPr/>
          <w:p>
            <w:pPr>
              <w:pStyle w:val="Compact"/>
            </w:pPr>
            <w:r>
              <w:t xml:space="preserve">Health Extension Worker / Women’s Development Army — Ethiopia’s salaried and volunteer community cadres</w:t>
            </w:r>
          </w:p>
        </w:tc>
      </w:tr>
      <w:tr>
        <w:tc>
          <w:tcPr/>
          <w:p>
            <w:pPr>
              <w:pStyle w:val="Compact"/>
            </w:pPr>
            <w:r>
              <w:rPr>
                <w:b/>
                <w:bCs/>
              </w:rPr>
              <w:t xml:space="preserve">ASHA / AWW / ANM</w:t>
            </w:r>
          </w:p>
        </w:tc>
        <w:tc>
          <w:tcPr/>
          <w:p>
            <w:pPr>
              <w:pStyle w:val="Compact"/>
            </w:pPr>
            <w:r>
              <w:t xml:space="preserve">India’s Accredited Social Health Activist, Anganwadi Worker and Auxiliary Nurse Midwife</w:t>
            </w:r>
          </w:p>
        </w:tc>
      </w:tr>
      <w:tr>
        <w:tc>
          <w:tcPr/>
          <w:p>
            <w:pPr>
              <w:pStyle w:val="Compact"/>
            </w:pPr>
            <w:r>
              <w:rPr>
                <w:b/>
                <w:bCs/>
              </w:rPr>
              <w:t xml:space="preserve">ICDS / POSHAN / AMB</w:t>
            </w:r>
          </w:p>
        </w:tc>
        <w:tc>
          <w:tcPr/>
          <w:p>
            <w:pPr>
              <w:pStyle w:val="Compact"/>
            </w:pPr>
            <w:r>
              <w:t xml:space="preserve">India’s Integrated Child Development Services, POSHAN Abhiyaan and Anemia Mukt Bharat national programmes</w:t>
            </w:r>
          </w:p>
        </w:tc>
      </w:tr>
      <w:tr>
        <w:tc>
          <w:tcPr/>
          <w:p>
            <w:pPr>
              <w:pStyle w:val="Compact"/>
            </w:pPr>
            <w:r>
              <w:rPr>
                <w:b/>
                <w:bCs/>
              </w:rPr>
              <w:t xml:space="preserve">LHW</w:t>
            </w:r>
          </w:p>
        </w:tc>
        <w:tc>
          <w:tcPr/>
          <w:p>
            <w:pPr>
              <w:pStyle w:val="Compact"/>
            </w:pPr>
            <w:r>
              <w:t xml:space="preserve">Lady Health Worker — Pakistan’s community cadre, covering about 60% of the population</w:t>
            </w:r>
          </w:p>
        </w:tc>
      </w:tr>
      <w:tr>
        <w:tc>
          <w:tcPr/>
          <w:p>
            <w:pPr>
              <w:pStyle w:val="Compact"/>
            </w:pPr>
            <w:r>
              <w:rPr>
                <w:b/>
                <w:bCs/>
              </w:rPr>
              <w:t xml:space="preserve">FCHV</w:t>
            </w:r>
          </w:p>
        </w:tc>
        <w:tc>
          <w:tcPr/>
          <w:p>
            <w:pPr>
              <w:pStyle w:val="Compact"/>
            </w:pPr>
            <w:r>
              <w:t xml:space="preserve">Female Community Health Volunteer — Nepal’s cadre, over 50,000 volunteers</w:t>
            </w:r>
          </w:p>
        </w:tc>
      </w:tr>
    </w:tbl>
    <w:bookmarkEnd w:id="97"/>
    <w:bookmarkStart w:id="98" w:name="measurement-and-evidence"/>
    <w:p>
      <w:pPr>
        <w:pStyle w:val="Heading3"/>
      </w:pPr>
      <w:r>
        <w:t xml:space="preserve">Measurement and evidence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RR</w:t>
            </w:r>
          </w:p>
        </w:tc>
        <w:tc>
          <w:tcPr/>
          <w:p>
            <w:pPr>
              <w:pStyle w:val="Compact"/>
            </w:pPr>
            <w:r>
              <w:t xml:space="preserve">Risk Ratio. 1.00 = no difference. Below 1 is good for bad outcomes (death, low birthweight); above 1 is good for good outcomes (recovery, breastfeeding)</w:t>
            </w:r>
          </w:p>
        </w:tc>
      </w:tr>
      <w:tr>
        <w:tc>
          <w:tcPr/>
          <w:p>
            <w:pPr>
              <w:pStyle w:val="Compact"/>
            </w:pPr>
            <w:r>
              <w:rPr>
                <w:b/>
                <w:bCs/>
              </w:rPr>
              <w:t xml:space="preserve">OR / HR</w:t>
            </w:r>
          </w:p>
        </w:tc>
        <w:tc>
          <w:tcPr/>
          <w:p>
            <w:pPr>
              <w:pStyle w:val="Compact"/>
            </w:pPr>
            <w:r>
              <w:t xml:space="preserve">Odds Ratio / Hazard Ratio — read like RR</w:t>
            </w:r>
          </w:p>
        </w:tc>
      </w:tr>
      <w:tr>
        <w:tc>
          <w:tcPr/>
          <w:p>
            <w:pPr>
              <w:pStyle w:val="Compact"/>
            </w:pPr>
            <w:r>
              <w:rPr>
                <w:b/>
                <w:bCs/>
              </w:rPr>
              <w:t xml:space="preserve">RD</w:t>
            </w:r>
          </w:p>
        </w:tc>
        <w:tc>
          <w:tcPr/>
          <w:p>
            <w:pPr>
              <w:pStyle w:val="Compact"/>
            </w:pPr>
            <w:r>
              <w:t xml:space="preserve">Risk Difference — an absolute rather than relative difference</w:t>
            </w:r>
          </w:p>
        </w:tc>
      </w:tr>
      <w:tr>
        <w:tc>
          <w:tcPr/>
          <w:p>
            <w:pPr>
              <w:pStyle w:val="Compact"/>
            </w:pPr>
            <w:r>
              <w:rPr>
                <w:b/>
                <w:bCs/>
              </w:rPr>
              <w:t xml:space="preserve">MD / SMD</w:t>
            </w:r>
          </w:p>
        </w:tc>
        <w:tc>
          <w:tcPr/>
          <w:p>
            <w:pPr>
              <w:pStyle w:val="Compact"/>
            </w:pPr>
            <w:r>
              <w:t xml:space="preserve">Mean Difference / Standardised Mean Difference — compares averages, where</w:t>
            </w:r>
            <w:r>
              <w:t xml:space="preserve"> </w:t>
            </w:r>
            <w:r>
              <w:rPr>
                <w:b/>
                <w:bCs/>
              </w:rPr>
              <w:t xml:space="preserve">0</w:t>
            </w:r>
            <w:r>
              <w:t xml:space="preserve"> </w:t>
            </w:r>
            <w:r>
              <w:t xml:space="preserve">rather than 1 means no difference</w:t>
            </w:r>
          </w:p>
        </w:tc>
      </w:tr>
      <w:tr>
        <w:tc>
          <w:tcPr/>
          <w:p>
            <w:pPr>
              <w:pStyle w:val="Compact"/>
            </w:pPr>
            <w:r>
              <w:rPr>
                <w:b/>
                <w:bCs/>
              </w:rPr>
              <w:t xml:space="preserve">95% CI</w:t>
            </w:r>
          </w:p>
        </w:tc>
        <w:tc>
          <w:tcPr/>
          <w:p>
            <w:pPr>
              <w:pStyle w:val="Compact"/>
            </w:pPr>
            <w:r>
              <w:t xml:space="preserve">Confidence interval.</w:t>
            </w:r>
            <w:r>
              <w:t xml:space="preserve"> </w:t>
            </w:r>
            <w:r>
              <w:rPr>
                <w:b/>
                <w:bCs/>
              </w:rPr>
              <w:t xml:space="preserve">If it crosses 1.00, the result is not statistically significant</w:t>
            </w:r>
          </w:p>
        </w:tc>
      </w:tr>
      <w:tr>
        <w:tc>
          <w:tcPr/>
          <w:p>
            <w:pPr>
              <w:pStyle w:val="Compact"/>
            </w:pPr>
            <w:r>
              <w:rPr>
                <w:b/>
                <w:bCs/>
              </w:rPr>
              <w:t xml:space="preserve">N</w:t>
            </w:r>
          </w:p>
        </w:tc>
        <w:tc>
          <w:tcPr/>
          <w:p>
            <w:pPr>
              <w:pStyle w:val="Compact"/>
            </w:pPr>
            <w:r>
              <w:t xml:space="preserve">Number of participants</w:t>
            </w:r>
          </w:p>
        </w:tc>
      </w:tr>
      <w:tr>
        <w:tc>
          <w:tcPr/>
          <w:p>
            <w:pPr>
              <w:pStyle w:val="Compact"/>
            </w:pPr>
            <w:r>
              <w:rPr>
                <w:b/>
                <w:bCs/>
              </w:rPr>
              <w:t xml:space="preserve">RCT</w:t>
            </w:r>
          </w:p>
        </w:tc>
        <w:tc>
          <w:tcPr/>
          <w:p>
            <w:pPr>
              <w:pStyle w:val="Compact"/>
            </w:pPr>
            <w:r>
              <w:t xml:space="preserve">Randomised Controlled Trial</w:t>
            </w:r>
          </w:p>
        </w:tc>
      </w:tr>
      <w:tr>
        <w:tc>
          <w:tcPr/>
          <w:p>
            <w:pPr>
              <w:pStyle w:val="Compact"/>
            </w:pPr>
            <w:r>
              <w:rPr>
                <w:b/>
                <w:bCs/>
              </w:rPr>
              <w:t xml:space="preserve">IPD</w:t>
            </w:r>
          </w:p>
        </w:tc>
        <w:tc>
          <w:tcPr/>
          <w:p>
            <w:pPr>
              <w:pStyle w:val="Compact"/>
            </w:pPr>
            <w:r>
              <w:t xml:space="preserve">Individual Participant Data — pooling raw records rather than published summaries; stronger than a standard meta-analysis</w:t>
            </w:r>
          </w:p>
        </w:tc>
      </w:tr>
      <w:tr>
        <w:tc>
          <w:tcPr/>
          <w:p>
            <w:pPr>
              <w:pStyle w:val="Compact"/>
            </w:pPr>
            <w:r>
              <w:rPr>
                <w:b/>
                <w:bCs/>
              </w:rPr>
              <w:t xml:space="preserve">GRADE</w:t>
            </w:r>
          </w:p>
        </w:tc>
        <w:tc>
          <w:tcPr/>
          <w:p>
            <w:pPr>
              <w:pStyle w:val="Compact"/>
            </w:pPr>
            <w:r>
              <w:t xml:space="preserve">Grading of Recommendations Assessment, Development and Evaluation — formal certainty rating (high / moderate / low / very low)</w:t>
            </w:r>
          </w:p>
        </w:tc>
      </w:tr>
      <w:tr>
        <w:tc>
          <w:tcPr/>
          <w:p>
            <w:pPr>
              <w:pStyle w:val="Compact"/>
            </w:pPr>
            <w:r>
              <w:rPr>
                <w:b/>
                <w:bCs/>
              </w:rPr>
              <w:t xml:space="preserve">Active control</w:t>
            </w:r>
          </w:p>
        </w:tc>
        <w:tc>
          <w:tcPr/>
          <w:p>
            <w:pPr>
              <w:pStyle w:val="Compact"/>
            </w:pPr>
            <w:r>
              <w:t xml:space="preserve">A comparison where the control group also received treatment, so the measured benefit is against another treatment rather than against nothing</w:t>
            </w:r>
          </w:p>
        </w:tc>
      </w:tr>
      <w:tr>
        <w:tc>
          <w:tcPr/>
          <w:p>
            <w:pPr>
              <w:pStyle w:val="Compact"/>
            </w:pPr>
            <w:r>
              <w:rPr>
                <w:b/>
                <w:bCs/>
              </w:rPr>
              <w:t xml:space="preserve">PICOS</w:t>
            </w:r>
          </w:p>
        </w:tc>
        <w:tc>
          <w:tcPr/>
          <w:p>
            <w:pPr>
              <w:pStyle w:val="Compact"/>
            </w:pPr>
            <w:r>
              <w:t xml:space="preserve">Population, Intervention, Comparison, Outcomes, Study design — the review specification template</w:t>
            </w:r>
          </w:p>
        </w:tc>
      </w:tr>
    </w:tbl>
    <w:bookmarkEnd w:id="98"/>
    <w:bookmarkStart w:id="99" w:name="coverage-targets-and-outcomes"/>
    <w:p>
      <w:pPr>
        <w:pStyle w:val="Heading3"/>
      </w:pPr>
      <w:r>
        <w:t xml:space="preserve">Coverage, targets and outcomes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Coverage</w:t>
            </w:r>
          </w:p>
        </w:tc>
        <w:tc>
          <w:tcPr/>
          <w:p>
            <w:pPr>
              <w:pStyle w:val="Compact"/>
            </w:pPr>
            <w:r>
              <w:t xml:space="preserve">Of everyone who needs an intervention, the share who receive it</w:t>
            </w:r>
          </w:p>
        </w:tc>
      </w:tr>
      <w:tr>
        <w:tc>
          <w:tcPr/>
          <w:p>
            <w:pPr>
              <w:pStyle w:val="Compact"/>
            </w:pPr>
            <w:r>
              <w:rPr>
                <w:b/>
                <w:bCs/>
              </w:rPr>
              <w:t xml:space="preserve">Adherence</w:t>
            </w:r>
          </w:p>
        </w:tc>
        <w:tc>
          <w:tcPr/>
          <w:p>
            <w:pPr>
              <w:pStyle w:val="Compact"/>
            </w:pPr>
            <w:r>
              <w:t xml:space="preserve">Of those who receive it, the share who use it as intended</w:t>
            </w:r>
          </w:p>
        </w:tc>
      </w:tr>
      <w:tr>
        <w:tc>
          <w:tcPr/>
          <w:p>
            <w:pPr>
              <w:pStyle w:val="Compact"/>
            </w:pPr>
            <w:r>
              <w:rPr>
                <w:b/>
                <w:bCs/>
              </w:rPr>
              <w:t xml:space="preserve">Sphere standard</w:t>
            </w:r>
          </w:p>
        </w:tc>
        <w:tc>
          <w:tcPr/>
          <w:p>
            <w:pPr>
              <w:pStyle w:val="Compact"/>
            </w:pPr>
            <w:r>
              <w:t xml:space="preserve">Humanitarian minimum performance benchmark; ≥75% recovery for malnutrition treatment</w:t>
            </w:r>
          </w:p>
        </w:tc>
      </w:tr>
      <w:tr>
        <w:tc>
          <w:tcPr/>
          <w:p>
            <w:pPr>
              <w:pStyle w:val="Compact"/>
            </w:pPr>
            <w:r>
              <w:rPr>
                <w:b/>
                <w:bCs/>
              </w:rPr>
              <w:t xml:space="preserve">SQUEAC / SLEAC</w:t>
            </w:r>
          </w:p>
        </w:tc>
        <w:tc>
          <w:tcPr/>
          <w:p>
            <w:pPr>
              <w:pStyle w:val="Compact"/>
            </w:pPr>
            <w:r>
              <w:t xml:space="preserve">The standard survey methods for measuring treatment coverage</w:t>
            </w:r>
          </w:p>
        </w:tc>
      </w:tr>
      <w:tr>
        <w:tc>
          <w:tcPr/>
          <w:p>
            <w:pPr>
              <w:pStyle w:val="Compact"/>
            </w:pPr>
            <w:r>
              <w:rPr>
                <w:b/>
                <w:bCs/>
              </w:rPr>
              <w:t xml:space="preserve">WHA targets</w:t>
            </w:r>
          </w:p>
        </w:tc>
        <w:tc>
          <w:tcPr/>
          <w:p>
            <w:pPr>
              <w:pStyle w:val="Compact"/>
            </w:pPr>
            <w:r>
              <w:t xml:space="preserve">World Health Assembly global nutrition goals — e.g. 70% exclusive breastfeeding</w:t>
            </w:r>
          </w:p>
        </w:tc>
      </w:tr>
      <w:tr>
        <w:tc>
          <w:tcPr/>
          <w:p>
            <w:pPr>
              <w:pStyle w:val="Compact"/>
            </w:pPr>
            <w:r>
              <w:rPr>
                <w:b/>
                <w:bCs/>
              </w:rPr>
              <w:t xml:space="preserve">Defaulting / LTFU</w:t>
            </w:r>
          </w:p>
        </w:tc>
        <w:tc>
          <w:tcPr/>
          <w:p>
            <w:pPr>
              <w:pStyle w:val="Compact"/>
            </w:pPr>
            <w:r>
              <w:t xml:space="preserve">Patients dropping out before completing treatment / Loss To Follow-Up</w:t>
            </w:r>
          </w:p>
        </w:tc>
      </w:tr>
      <w:tr>
        <w:tc>
          <w:tcPr/>
          <w:p>
            <w:pPr>
              <w:pStyle w:val="Compact"/>
            </w:pPr>
            <w:r>
              <w:rPr>
                <w:b/>
                <w:bCs/>
              </w:rPr>
              <w:t xml:space="preserve">Stock-out</w:t>
            </w:r>
          </w:p>
        </w:tc>
        <w:tc>
          <w:tcPr/>
          <w:p>
            <w:pPr>
              <w:pStyle w:val="Compact"/>
            </w:pPr>
            <w:r>
              <w:t xml:space="preserve">Supplies unavailable at the point of delivery</w:t>
            </w:r>
          </w:p>
        </w:tc>
      </w:tr>
      <w:tr>
        <w:tc>
          <w:tcPr/>
          <w:p>
            <w:pPr>
              <w:pStyle w:val="Compact"/>
            </w:pPr>
            <w:r>
              <w:rPr>
                <w:b/>
                <w:bCs/>
              </w:rPr>
              <w:t xml:space="preserve">LBW / SGA</w:t>
            </w:r>
          </w:p>
        </w:tc>
        <w:tc>
          <w:tcPr/>
          <w:p>
            <w:pPr>
              <w:pStyle w:val="Compact"/>
            </w:pPr>
            <w:r>
              <w:t xml:space="preserve">Low Birthweight / Small for Gestational Age</w:t>
            </w:r>
          </w:p>
        </w:tc>
      </w:tr>
      <w:tr>
        <w:tc>
          <w:tcPr/>
          <w:p>
            <w:pPr>
              <w:pStyle w:val="Compact"/>
            </w:pPr>
            <w:r>
              <w:rPr>
                <w:b/>
                <w:bCs/>
              </w:rPr>
              <w:t xml:space="preserve">SVN</w:t>
            </w:r>
          </w:p>
        </w:tc>
        <w:tc>
          <w:tcPr/>
          <w:p>
            <w:pPr>
              <w:pStyle w:val="Compact"/>
            </w:pPr>
            <w:r>
              <w:t xml:space="preserve">Small Vulnerable Newborn — the combined category of preterm, SGA and low-birthweight infants</w:t>
            </w:r>
          </w:p>
        </w:tc>
      </w:tr>
      <w:tr>
        <w:tc>
          <w:tcPr/>
          <w:p>
            <w:pPr>
              <w:pStyle w:val="Compact"/>
            </w:pPr>
            <w:r>
              <w:rPr>
                <w:b/>
                <w:bCs/>
              </w:rPr>
              <w:t xml:space="preserve">pp</w:t>
            </w:r>
          </w:p>
        </w:tc>
        <w:tc>
          <w:tcPr/>
          <w:p>
            <w:pPr>
              <w:pStyle w:val="Compact"/>
            </w:pPr>
            <w:r>
              <w:t xml:space="preserve">Percentage points</w:t>
            </w:r>
          </w:p>
        </w:tc>
      </w:tr>
    </w:tbl>
    <w:bookmarkEnd w:id="99"/>
    <w:bookmarkEnd w:id="100"/>
    <w:bookmarkStart w:id="101" w:name="appendix-b-evidence-base-composition"/>
    <w:p>
      <w:pPr>
        <w:pStyle w:val="Heading2"/>
      </w:pPr>
      <w:r>
        <w:t xml:space="preserve">Appendix B — Evidence base composition</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p>
        </w:tc>
        <w:tc>
          <w:tcPr/>
          <w:p>
            <w:pPr>
              <w:pStyle w:val="Compact"/>
              <w:jc w:val="right"/>
            </w:pPr>
            <w:r>
              <w:t xml:space="preserve">CMAM</w:t>
            </w:r>
          </w:p>
        </w:tc>
        <w:tc>
          <w:tcPr/>
          <w:p>
            <w:pPr>
              <w:pStyle w:val="Compact"/>
              <w:jc w:val="right"/>
            </w:pPr>
            <w:r>
              <w:t xml:space="preserve">Breastfeeding</w:t>
            </w:r>
          </w:p>
        </w:tc>
        <w:tc>
          <w:tcPr/>
          <w:p>
            <w:pPr>
              <w:pStyle w:val="Compact"/>
              <w:jc w:val="right"/>
            </w:pPr>
            <w:r>
              <w:t xml:space="preserve">MMS</w:t>
            </w:r>
          </w:p>
        </w:tc>
        <w:tc>
          <w:tcPr/>
          <w:p>
            <w:pPr>
              <w:pStyle w:val="Compact"/>
              <w:jc w:val="right"/>
            </w:pPr>
            <w:r>
              <w:t xml:space="preserve">Total</w:t>
            </w:r>
          </w:p>
        </w:tc>
      </w:tr>
      <w:tr>
        <w:tc>
          <w:tcPr/>
          <w:p>
            <w:pPr>
              <w:pStyle w:val="Compact"/>
            </w:pPr>
            <w:r>
              <w:t xml:space="preserve">On-topic records</w:t>
            </w:r>
          </w:p>
        </w:tc>
        <w:tc>
          <w:tcPr/>
          <w:p>
            <w:pPr>
              <w:pStyle w:val="Compact"/>
              <w:jc w:val="right"/>
            </w:pPr>
            <w:r>
              <w:t xml:space="preserve">243</w:t>
            </w:r>
          </w:p>
        </w:tc>
        <w:tc>
          <w:tcPr/>
          <w:p>
            <w:pPr>
              <w:pStyle w:val="Compact"/>
              <w:jc w:val="right"/>
            </w:pPr>
            <w:r>
              <w:t xml:space="preserve">193</w:t>
            </w:r>
          </w:p>
        </w:tc>
        <w:tc>
          <w:tcPr/>
          <w:p>
            <w:pPr>
              <w:pStyle w:val="Compact"/>
              <w:jc w:val="right"/>
            </w:pPr>
            <w:r>
              <w:t xml:space="preserve">212</w:t>
            </w:r>
          </w:p>
        </w:tc>
        <w:tc>
          <w:tcPr/>
          <w:p>
            <w:pPr>
              <w:pStyle w:val="Compact"/>
              <w:jc w:val="right"/>
            </w:pPr>
            <w:r>
              <w:rPr>
                <w:b/>
                <w:bCs/>
              </w:rPr>
              <w:t xml:space="preserve">648</w:t>
            </w:r>
          </w:p>
        </w:tc>
      </w:tr>
      <w:tr>
        <w:tc>
          <w:tcPr/>
          <w:p>
            <w:pPr>
              <w:pStyle w:val="Compact"/>
            </w:pPr>
            <w:r>
              <w:t xml:space="preserve">Meta-analyses</w:t>
            </w:r>
          </w:p>
        </w:tc>
        <w:tc>
          <w:tcPr/>
          <w:p>
            <w:pPr>
              <w:pStyle w:val="Compact"/>
              <w:jc w:val="right"/>
            </w:pPr>
            <w:r>
              <w:t xml:space="preserve">13</w:t>
            </w:r>
          </w:p>
        </w:tc>
        <w:tc>
          <w:tcPr/>
          <w:p>
            <w:pPr>
              <w:pStyle w:val="Compact"/>
              <w:jc w:val="right"/>
            </w:pPr>
            <w:r>
              <w:t xml:space="preserve">30</w:t>
            </w:r>
          </w:p>
        </w:tc>
        <w:tc>
          <w:tcPr/>
          <w:p>
            <w:pPr>
              <w:pStyle w:val="Compact"/>
              <w:jc w:val="right"/>
            </w:pPr>
            <w:r>
              <w:t xml:space="preserve">34</w:t>
            </w:r>
          </w:p>
        </w:tc>
        <w:tc>
          <w:tcPr/>
          <w:p>
            <w:pPr>
              <w:pStyle w:val="Compact"/>
              <w:jc w:val="right"/>
            </w:pPr>
            <w:r>
              <w:t xml:space="preserve">77</w:t>
            </w:r>
          </w:p>
        </w:tc>
      </w:tr>
      <w:tr>
        <w:tc>
          <w:tcPr/>
          <w:p>
            <w:pPr>
              <w:pStyle w:val="Compact"/>
            </w:pPr>
            <w:r>
              <w:t xml:space="preserve">Systematic reviews</w:t>
            </w:r>
          </w:p>
        </w:tc>
        <w:tc>
          <w:tcPr/>
          <w:p>
            <w:pPr>
              <w:pStyle w:val="Compact"/>
              <w:jc w:val="right"/>
            </w:pPr>
            <w:r>
              <w:t xml:space="preserve">14</w:t>
            </w:r>
          </w:p>
        </w:tc>
        <w:tc>
          <w:tcPr/>
          <w:p>
            <w:pPr>
              <w:pStyle w:val="Compact"/>
              <w:jc w:val="right"/>
            </w:pPr>
            <w:r>
              <w:t xml:space="preserve">29</w:t>
            </w:r>
          </w:p>
        </w:tc>
        <w:tc>
          <w:tcPr/>
          <w:p>
            <w:pPr>
              <w:pStyle w:val="Compact"/>
              <w:jc w:val="right"/>
            </w:pPr>
            <w:r>
              <w:t xml:space="preserve">16</w:t>
            </w:r>
          </w:p>
        </w:tc>
        <w:tc>
          <w:tcPr/>
          <w:p>
            <w:pPr>
              <w:pStyle w:val="Compact"/>
              <w:jc w:val="right"/>
            </w:pPr>
            <w:r>
              <w:t xml:space="preserve">59</w:t>
            </w:r>
          </w:p>
        </w:tc>
      </w:tr>
      <w:tr>
        <w:tc>
          <w:tcPr/>
          <w:p>
            <w:pPr>
              <w:pStyle w:val="Compact"/>
            </w:pPr>
            <w:r>
              <w:t xml:space="preserve">Randomised trials</w:t>
            </w:r>
          </w:p>
        </w:tc>
        <w:tc>
          <w:tcPr/>
          <w:p>
            <w:pPr>
              <w:pStyle w:val="Compact"/>
              <w:jc w:val="right"/>
            </w:pPr>
            <w:r>
              <w:t xml:space="preserve">32</w:t>
            </w:r>
          </w:p>
        </w:tc>
        <w:tc>
          <w:tcPr/>
          <w:p>
            <w:pPr>
              <w:pStyle w:val="Compact"/>
              <w:jc w:val="right"/>
            </w:pPr>
            <w:r>
              <w:t xml:space="preserve">12</w:t>
            </w:r>
          </w:p>
        </w:tc>
        <w:tc>
          <w:tcPr/>
          <w:p>
            <w:pPr>
              <w:pStyle w:val="Compact"/>
              <w:jc w:val="right"/>
            </w:pPr>
            <w:r>
              <w:t xml:space="preserve">31</w:t>
            </w:r>
          </w:p>
        </w:tc>
        <w:tc>
          <w:tcPr/>
          <w:p>
            <w:pPr>
              <w:pStyle w:val="Compact"/>
              <w:jc w:val="right"/>
            </w:pPr>
            <w:r>
              <w:t xml:space="preserve">75</w:t>
            </w:r>
          </w:p>
        </w:tc>
      </w:tr>
      <w:tr>
        <w:tc>
          <w:tcPr/>
          <w:p>
            <w:pPr>
              <w:pStyle w:val="Compact"/>
            </w:pPr>
            <w:r>
              <w:t xml:space="preserve">Program evaluations</w:t>
            </w:r>
          </w:p>
        </w:tc>
        <w:tc>
          <w:tcPr/>
          <w:p>
            <w:pPr>
              <w:pStyle w:val="Compact"/>
              <w:jc w:val="right"/>
            </w:pPr>
            <w:r>
              <w:t xml:space="preserve">48</w:t>
            </w:r>
          </w:p>
        </w:tc>
        <w:tc>
          <w:tcPr/>
          <w:p>
            <w:pPr>
              <w:pStyle w:val="Compact"/>
              <w:jc w:val="right"/>
            </w:pPr>
            <w:r>
              <w:t xml:space="preserve">14</w:t>
            </w:r>
          </w:p>
        </w:tc>
        <w:tc>
          <w:tcPr/>
          <w:p>
            <w:pPr>
              <w:pStyle w:val="Compact"/>
              <w:jc w:val="right"/>
            </w:pPr>
            <w:r>
              <w:t xml:space="preserve">19</w:t>
            </w:r>
          </w:p>
        </w:tc>
        <w:tc>
          <w:tcPr/>
          <w:p>
            <w:pPr>
              <w:pStyle w:val="Compact"/>
              <w:jc w:val="right"/>
            </w:pPr>
            <w:r>
              <w:t xml:space="preserve">81</w:t>
            </w:r>
          </w:p>
        </w:tc>
      </w:tr>
      <w:tr>
        <w:tc>
          <w:tcPr/>
          <w:p>
            <w:pPr>
              <w:pStyle w:val="Compact"/>
            </w:pPr>
            <w:r>
              <w:t xml:space="preserve">Observational studies</w:t>
            </w:r>
          </w:p>
        </w:tc>
        <w:tc>
          <w:tcPr/>
          <w:p>
            <w:pPr>
              <w:pStyle w:val="Compact"/>
              <w:jc w:val="right"/>
            </w:pPr>
            <w:r>
              <w:t xml:space="preserve">84</w:t>
            </w:r>
          </w:p>
        </w:tc>
        <w:tc>
          <w:tcPr/>
          <w:p>
            <w:pPr>
              <w:pStyle w:val="Compact"/>
              <w:jc w:val="right"/>
            </w:pPr>
            <w:r>
              <w:t xml:space="preserve">63</w:t>
            </w:r>
          </w:p>
        </w:tc>
        <w:tc>
          <w:tcPr/>
          <w:p>
            <w:pPr>
              <w:pStyle w:val="Compact"/>
              <w:jc w:val="right"/>
            </w:pPr>
            <w:r>
              <w:t xml:space="preserve">63</w:t>
            </w:r>
          </w:p>
        </w:tc>
        <w:tc>
          <w:tcPr/>
          <w:p>
            <w:pPr>
              <w:pStyle w:val="Compact"/>
              <w:jc w:val="right"/>
            </w:pPr>
            <w:r>
              <w:t xml:space="preserve">210</w:t>
            </w:r>
          </w:p>
        </w:tc>
      </w:tr>
      <w:tr>
        <w:tc>
          <w:tcPr/>
          <w:p>
            <w:pPr>
              <w:pStyle w:val="Compact"/>
            </w:pPr>
            <w:r>
              <w:t xml:space="preserve">Qualitative studies</w:t>
            </w:r>
          </w:p>
        </w:tc>
        <w:tc>
          <w:tcPr/>
          <w:p>
            <w:pPr>
              <w:pStyle w:val="Compact"/>
              <w:jc w:val="right"/>
            </w:pPr>
            <w:r>
              <w:t xml:space="preserve">11</w:t>
            </w:r>
          </w:p>
        </w:tc>
        <w:tc>
          <w:tcPr/>
          <w:p>
            <w:pPr>
              <w:pStyle w:val="Compact"/>
              <w:jc w:val="right"/>
            </w:pPr>
            <w:r>
              <w:t xml:space="preserve">28</w:t>
            </w:r>
          </w:p>
        </w:tc>
        <w:tc>
          <w:tcPr/>
          <w:p>
            <w:pPr>
              <w:pStyle w:val="Compact"/>
              <w:jc w:val="right"/>
            </w:pPr>
            <w:r>
              <w:t xml:space="preserve">13</w:t>
            </w:r>
          </w:p>
        </w:tc>
        <w:tc>
          <w:tcPr/>
          <w:p>
            <w:pPr>
              <w:pStyle w:val="Compact"/>
              <w:jc w:val="right"/>
            </w:pPr>
            <w:r>
              <w:t xml:space="preserve">52</w:t>
            </w:r>
          </w:p>
        </w:tc>
      </w:tr>
      <w:tr>
        <w:tc>
          <w:tcPr/>
          <w:p>
            <w:pPr>
              <w:pStyle w:val="Compact"/>
            </w:pPr>
            <w:r>
              <w:t xml:space="preserve">Other reviews</w:t>
            </w:r>
          </w:p>
        </w:tc>
        <w:tc>
          <w:tcPr/>
          <w:p>
            <w:pPr>
              <w:pStyle w:val="Compact"/>
              <w:jc w:val="right"/>
            </w:pPr>
            <w:r>
              <w:t xml:space="preserve">26</w:t>
            </w:r>
          </w:p>
        </w:tc>
        <w:tc>
          <w:tcPr/>
          <w:p>
            <w:pPr>
              <w:pStyle w:val="Compact"/>
              <w:jc w:val="right"/>
            </w:pPr>
            <w:r>
              <w:t xml:space="preserve">9</w:t>
            </w:r>
          </w:p>
        </w:tc>
        <w:tc>
          <w:tcPr/>
          <w:p>
            <w:pPr>
              <w:pStyle w:val="Compact"/>
              <w:jc w:val="right"/>
            </w:pPr>
            <w:r>
              <w:t xml:space="preserve">27</w:t>
            </w:r>
          </w:p>
        </w:tc>
        <w:tc>
          <w:tcPr/>
          <w:p>
            <w:pPr>
              <w:pStyle w:val="Compact"/>
              <w:jc w:val="right"/>
            </w:pPr>
            <w:r>
              <w:t xml:space="preserve">62</w:t>
            </w:r>
          </w:p>
        </w:tc>
      </w:tr>
      <w:tr>
        <w:tc>
          <w:tcPr/>
          <w:p>
            <w:pPr>
              <w:pStyle w:val="Compact"/>
            </w:pPr>
            <w:r>
              <w:t xml:space="preserve">Modelling studies</w:t>
            </w:r>
          </w:p>
        </w:tc>
        <w:tc>
          <w:tcPr/>
          <w:p>
            <w:pPr>
              <w:pStyle w:val="Compact"/>
              <w:jc w:val="right"/>
            </w:pPr>
            <w:r>
              <w:t xml:space="preserve">12</w:t>
            </w:r>
          </w:p>
        </w:tc>
        <w:tc>
          <w:tcPr/>
          <w:p>
            <w:pPr>
              <w:pStyle w:val="Compact"/>
              <w:jc w:val="right"/>
            </w:pPr>
            <w:r>
              <w:t xml:space="preserve">3</w:t>
            </w:r>
          </w:p>
        </w:tc>
        <w:tc>
          <w:tcPr/>
          <w:p>
            <w:pPr>
              <w:pStyle w:val="Compact"/>
              <w:jc w:val="right"/>
            </w:pPr>
            <w:r>
              <w:t xml:space="preserve">6</w:t>
            </w:r>
          </w:p>
        </w:tc>
        <w:tc>
          <w:tcPr/>
          <w:p>
            <w:pPr>
              <w:pStyle w:val="Compact"/>
              <w:jc w:val="right"/>
            </w:pPr>
            <w:r>
              <w:t xml:space="preserve">21</w:t>
            </w:r>
          </w:p>
        </w:tc>
      </w:tr>
      <w:tr>
        <w:tc>
          <w:tcPr/>
          <w:p>
            <w:pPr>
              <w:pStyle w:val="Compact"/>
            </w:pPr>
            <w:r>
              <w:t xml:space="preserve">Records with implementation findings</w:t>
            </w:r>
          </w:p>
        </w:tc>
        <w:tc>
          <w:tcPr/>
          <w:p>
            <w:pPr>
              <w:pStyle w:val="Compact"/>
              <w:jc w:val="right"/>
            </w:pPr>
            <w:r>
              <w:t xml:space="preserve">239 (98%)</w:t>
            </w:r>
          </w:p>
        </w:tc>
        <w:tc>
          <w:tcPr/>
          <w:p>
            <w:pPr>
              <w:pStyle w:val="Compact"/>
              <w:jc w:val="right"/>
            </w:pPr>
            <w:r>
              <w:t xml:space="preserve">188 (97%)</w:t>
            </w:r>
          </w:p>
        </w:tc>
        <w:tc>
          <w:tcPr/>
          <w:p>
            <w:pPr>
              <w:pStyle w:val="Compact"/>
              <w:jc w:val="right"/>
            </w:pPr>
            <w:r>
              <w:t xml:space="preserve">203 (96%)</w:t>
            </w:r>
          </w:p>
        </w:tc>
        <w:tc>
          <w:tcPr/>
          <w:p>
            <w:pPr>
              <w:pStyle w:val="Compact"/>
              <w:jc w:val="right"/>
            </w:pPr>
            <w:r>
              <w:t xml:space="preserve">630 (97%)</w:t>
            </w:r>
          </w:p>
        </w:tc>
      </w:tr>
      <w:tr>
        <w:tc>
          <w:tcPr/>
          <w:p>
            <w:pPr>
              <w:pStyle w:val="Compact"/>
            </w:pPr>
            <w:r>
              <w:t xml:space="preserve">Implementation findings extracted</w:t>
            </w:r>
          </w:p>
        </w:tc>
        <w:tc>
          <w:tcPr/>
          <w:p>
            <w:pPr>
              <w:pStyle w:val="Compact"/>
              <w:jc w:val="right"/>
            </w:pPr>
            <w:r>
              <w:t xml:space="preserve">938</w:t>
            </w:r>
          </w:p>
        </w:tc>
        <w:tc>
          <w:tcPr/>
          <w:p>
            <w:pPr>
              <w:pStyle w:val="Compact"/>
              <w:jc w:val="right"/>
            </w:pPr>
            <w:r>
              <w:t xml:space="preserve">770</w:t>
            </w:r>
          </w:p>
        </w:tc>
        <w:tc>
          <w:tcPr/>
          <w:p>
            <w:pPr>
              <w:pStyle w:val="Compact"/>
              <w:jc w:val="right"/>
            </w:pPr>
            <w:r>
              <w:t xml:space="preserve">762</w:t>
            </w:r>
          </w:p>
        </w:tc>
        <w:tc>
          <w:tcPr/>
          <w:p>
            <w:pPr>
              <w:pStyle w:val="Compact"/>
              <w:jc w:val="right"/>
            </w:pPr>
            <w:r>
              <w:rPr>
                <w:b/>
                <w:bCs/>
              </w:rPr>
              <w:t xml:space="preserve">2,470</w:t>
            </w:r>
          </w:p>
        </w:tc>
      </w:tr>
    </w:tbl>
    <w:p>
      <w:pPr>
        <w:pStyle w:val="BodyText"/>
      </w:pPr>
      <w:r>
        <w:rPr>
          <w:b/>
          <w:bCs/>
        </w:rPr>
        <w:t xml:space="preserve">Retrieval funnel:</w:t>
      </w:r>
      <w:r>
        <w:t xml:space="preserve"> </w:t>
      </w:r>
      <w:r>
        <w:t xml:space="preserve">1,671 papers retrieved (CMAM 500, breastfeeding 640, MMS 531); 1,636 after deduplication; 981 with full text retrieved; 984 records extracted, of which 980 used full text; 648 on-topic.</w:t>
      </w:r>
    </w:p>
    <w:bookmarkEnd w:id="101"/>
    <w:bookmarkStart w:id="102" w:name="appendix-c-dominant-comparison-types"/>
    <w:p>
      <w:pPr>
        <w:pStyle w:val="Heading2"/>
      </w:pPr>
      <w:r>
        <w:t xml:space="preserve">Appendix C — Dominant comparison types</w:t>
      </w:r>
    </w:p>
    <w:p>
      <w:pPr>
        <w:pStyle w:val="FirstParagraph"/>
      </w:pPr>
      <w:r>
        <w:t xml:space="preserve">The comparison each literature chooses reveals its live policy question.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Intervention</w:t>
            </w:r>
          </w:p>
        </w:tc>
        <w:tc>
          <w:tcPr/>
          <w:p>
            <w:pPr>
              <w:pStyle w:val="Compact"/>
            </w:pPr>
            <w:r>
              <w:t xml:space="preserve">Leading comparison types</w:t>
            </w:r>
          </w:p>
        </w:tc>
      </w:tr>
      <w:tr>
        <w:tc>
          <w:tcPr/>
          <w:p>
            <w:pPr>
              <w:pStyle w:val="Compact"/>
            </w:pPr>
            <w:r>
              <w:rPr>
                <w:b/>
                <w:bCs/>
              </w:rPr>
              <w:t xml:space="preserve">CMAM</w:t>
            </w:r>
          </w:p>
        </w:tc>
        <w:tc>
          <w:tcPr/>
          <w:p>
            <w:pPr>
              <w:pStyle w:val="Compact"/>
            </w:pPr>
            <w:r>
              <w:t xml:space="preserve">No comparator 98; community vs facility 26; head-to-head products 25;</w:t>
            </w:r>
            <w:r>
              <w:t xml:space="preserve"> </w:t>
            </w:r>
            <w:r>
              <w:rPr>
                <w:b/>
                <w:bCs/>
              </w:rPr>
              <w:t xml:space="preserve">simplified vs standard 17</w:t>
            </w:r>
            <w:r>
              <w:t xml:space="preserve">; intervention vs usual care 15</w:t>
            </w:r>
          </w:p>
        </w:tc>
      </w:tr>
      <w:tr>
        <w:tc>
          <w:tcPr/>
          <w:p>
            <w:pPr>
              <w:pStyle w:val="Compact"/>
            </w:pPr>
            <w:r>
              <w:rPr>
                <w:b/>
                <w:bCs/>
              </w:rPr>
              <w:t xml:space="preserve">Breastfeeding</w:t>
            </w:r>
          </w:p>
        </w:tc>
        <w:tc>
          <w:tcPr/>
          <w:p>
            <w:pPr>
              <w:pStyle w:val="Compact"/>
            </w:pPr>
            <w:r>
              <w:t xml:space="preserve">No comparator 83;</w:t>
            </w:r>
            <w:r>
              <w:t xml:space="preserve"> </w:t>
            </w:r>
            <w:r>
              <w:rPr>
                <w:b/>
                <w:bCs/>
              </w:rPr>
              <w:t xml:space="preserve">intervention vs usual care 50</w:t>
            </w:r>
            <w:r>
              <w:t xml:space="preserve">; community vs facility 9</w:t>
            </w:r>
          </w:p>
        </w:tc>
      </w:tr>
      <w:tr>
        <w:tc>
          <w:tcPr/>
          <w:p>
            <w:pPr>
              <w:pStyle w:val="Compact"/>
            </w:pPr>
            <w:r>
              <w:rPr>
                <w:b/>
                <w:bCs/>
              </w:rPr>
              <w:t xml:space="preserve">MMS</w:t>
            </w:r>
          </w:p>
        </w:tc>
        <w:tc>
          <w:tcPr/>
          <w:p>
            <w:pPr>
              <w:pStyle w:val="Compact"/>
            </w:pPr>
            <w:r>
              <w:rPr>
                <w:b/>
                <w:bCs/>
              </w:rPr>
              <w:t xml:space="preserve">MMS vs IFA 65</w:t>
            </w:r>
            <w:r>
              <w:t xml:space="preserve">; no comparator 65; intervention vs usual care 19; community vs facility 5</w:t>
            </w:r>
          </w:p>
        </w:tc>
      </w:tr>
    </w:tbl>
    <w:bookmarkEnd w:id="102"/>
    <w:bookmarkStart w:id="103" w:name="appendix-d-country-evidence-base"/>
    <w:p>
      <w:pPr>
        <w:pStyle w:val="Heading2"/>
      </w:pPr>
      <w:r>
        <w:t xml:space="preserve">Appendix D — Country evidence base</w:t>
      </w:r>
    </w:p>
    <w:p>
      <w:pPr>
        <w:pStyle w:val="FirstParagraph"/>
      </w:pPr>
      <w:r>
        <w:t xml:space="preserve">Eighteen countries carry at least five records in each of the three interventions together with at least ten country-specific primary studies.</w:t>
      </w:r>
      <w:r>
        <w:t xml:space="preserve"> </w:t>
      </w:r>
      <w:r>
        <w:rPr>
          <w:b/>
          <w:bCs/>
        </w:rPr>
        <w:t xml:space="preserve">This is a description of where research exists, not a ranking.</w:t>
      </w:r>
      <w:r>
        <w:t xml:space="preserve"> </w:t>
      </w:r>
      <w:r>
        <w:t xml:space="preserve">An earlier draft scored and ordered these countries; see §4.1 for why that was removed.</w:t>
      </w:r>
    </w:p>
    <w:p>
      <w:pPr>
        <w:pStyle w:val="BodyText"/>
      </w:pPr>
      <w:r>
        <w:t xml:space="preserve">“Country-specific”</w:t>
      </w:r>
      <w:r>
        <w:t xml:space="preserve"> </w:t>
      </w:r>
      <w:r>
        <w:t xml:space="preserve">counts records tagged with three or fewer countries. Multi-country records are shown separately because a review naming nine countries is evidence</w:t>
      </w:r>
      <w:r>
        <w:t xml:space="preserve"> </w:t>
      </w:r>
      <w:r>
        <w:rPr>
          <w:i/>
          <w:iCs/>
        </w:rPr>
        <w:t xml:space="preserve">mentioning</w:t>
      </w:r>
      <w:r>
        <w:t xml:space="preserve"> </w:t>
      </w:r>
      <w:r>
        <w:t xml:space="preserve">a country rather than evidence</w:t>
      </w:r>
      <w:r>
        <w:t xml:space="preserve"> </w:t>
      </w:r>
      <w:r>
        <w:rPr>
          <w:i/>
          <w:iCs/>
        </w:rPr>
        <w:t xml:space="preserve">about</w:t>
      </w:r>
      <w:r>
        <w:t xml:space="preserve"> </w:t>
      </w:r>
      <w:r>
        <w:t xml:space="preserve">it — counting them equally distorts every country-level comparison.</w:t>
      </w:r>
    </w:p>
    <w:tbl>
      <w:tblPr>
        <w:tblStyle w:val="Table"/>
        <w:tblW w:type="pct" w:w="5000"/>
        <w:tblLayout w:type="fixed"/>
        <w:tblLook w:firstRow="1" w:lastRow="0" w:firstColumn="0" w:lastColumn="0" w:noHBand="0" w:noVBand="0" w:val="0020"/>
      </w:tblPr>
      <w:tblGrid>
        <w:gridCol w:w="678"/>
        <w:gridCol w:w="905"/>
        <w:gridCol w:w="905"/>
        <w:gridCol w:w="905"/>
        <w:gridCol w:w="905"/>
        <w:gridCol w:w="905"/>
        <w:gridCol w:w="905"/>
        <w:gridCol w:w="905"/>
        <w:gridCol w:w="905"/>
      </w:tblGrid>
      <w:tr>
        <w:trPr>
          <w:tblHeader w:val="on"/>
        </w:trPr>
        <w:tc>
          <w:tcPr/>
          <w:p>
            <w:pPr>
              <w:pStyle w:val="Compact"/>
            </w:pPr>
            <w:r>
              <w:t xml:space="preserve">Country</w:t>
            </w:r>
          </w:p>
        </w:tc>
        <w:tc>
          <w:tcPr/>
          <w:p>
            <w:pPr>
              <w:pStyle w:val="Compact"/>
              <w:jc w:val="right"/>
            </w:pPr>
            <w:r>
              <w:t xml:space="preserve">CMAM</w:t>
            </w:r>
          </w:p>
        </w:tc>
        <w:tc>
          <w:tcPr/>
          <w:p>
            <w:pPr>
              <w:pStyle w:val="Compact"/>
              <w:jc w:val="right"/>
            </w:pPr>
            <w:r>
              <w:t xml:space="preserve">BF</w:t>
            </w:r>
          </w:p>
        </w:tc>
        <w:tc>
          <w:tcPr/>
          <w:p>
            <w:pPr>
              <w:pStyle w:val="Compact"/>
              <w:jc w:val="right"/>
            </w:pPr>
            <w:r>
              <w:t xml:space="preserve">MMS</w:t>
            </w:r>
          </w:p>
        </w:tc>
        <w:tc>
          <w:tcPr/>
          <w:p>
            <w:pPr>
              <w:pStyle w:val="Compact"/>
              <w:jc w:val="right"/>
            </w:pPr>
            <w:r>
              <w:t xml:space="preserve">Country-specific</w:t>
            </w:r>
          </w:p>
        </w:tc>
        <w:tc>
          <w:tcPr/>
          <w:p>
            <w:pPr>
              <w:pStyle w:val="Compact"/>
              <w:jc w:val="right"/>
            </w:pPr>
            <w:r>
              <w:t xml:space="preserve">Multi-country</w:t>
            </w:r>
          </w:p>
        </w:tc>
        <w:tc>
          <w:tcPr/>
          <w:p>
            <w:pPr>
              <w:pStyle w:val="Compact"/>
              <w:jc w:val="right"/>
            </w:pPr>
            <w:r>
              <w:t xml:space="preserve">Primary studies</w:t>
            </w:r>
          </w:p>
        </w:tc>
        <w:tc>
          <w:tcPr/>
          <w:p>
            <w:pPr>
              <w:pStyle w:val="Compact"/>
              <w:jc w:val="right"/>
            </w:pPr>
            <w:r>
              <w:t xml:space="preserve">Program evals</w:t>
            </w:r>
          </w:p>
        </w:tc>
        <w:tc>
          <w:tcPr/>
          <w:p>
            <w:pPr>
              <w:pStyle w:val="Compact"/>
              <w:jc w:val="right"/>
            </w:pPr>
            <w:r>
              <w:t xml:space="preserve">Impl. findings</w:t>
            </w:r>
          </w:p>
        </w:tc>
      </w:tr>
      <w:tr>
        <w:tc>
          <w:tcPr/>
          <w:p>
            <w:pPr>
              <w:pStyle w:val="Compact"/>
            </w:pPr>
            <w:r>
              <w:t xml:space="preserve">Ethiopia</w:t>
            </w:r>
          </w:p>
        </w:tc>
        <w:tc>
          <w:tcPr/>
          <w:p>
            <w:pPr>
              <w:pStyle w:val="Compact"/>
              <w:jc w:val="right"/>
            </w:pPr>
            <w:r>
              <w:t xml:space="preserve">65</w:t>
            </w:r>
          </w:p>
        </w:tc>
        <w:tc>
          <w:tcPr/>
          <w:p>
            <w:pPr>
              <w:pStyle w:val="Compact"/>
              <w:jc w:val="right"/>
            </w:pPr>
            <w:r>
              <w:t xml:space="preserve">36</w:t>
            </w:r>
          </w:p>
        </w:tc>
        <w:tc>
          <w:tcPr/>
          <w:p>
            <w:pPr>
              <w:pStyle w:val="Compact"/>
              <w:jc w:val="right"/>
            </w:pPr>
            <w:r>
              <w:t xml:space="preserve">43</w:t>
            </w:r>
          </w:p>
        </w:tc>
        <w:tc>
          <w:tcPr/>
          <w:p>
            <w:pPr>
              <w:pStyle w:val="Compact"/>
              <w:jc w:val="right"/>
            </w:pPr>
            <w:r>
              <w:t xml:space="preserve">94</w:t>
            </w:r>
          </w:p>
        </w:tc>
        <w:tc>
          <w:tcPr/>
          <w:p>
            <w:pPr>
              <w:pStyle w:val="Compact"/>
              <w:jc w:val="right"/>
            </w:pPr>
            <w:r>
              <w:t xml:space="preserve">50</w:t>
            </w:r>
          </w:p>
        </w:tc>
        <w:tc>
          <w:tcPr/>
          <w:p>
            <w:pPr>
              <w:pStyle w:val="Compact"/>
              <w:jc w:val="right"/>
            </w:pPr>
            <w:r>
              <w:t xml:space="preserve">90</w:t>
            </w:r>
          </w:p>
        </w:tc>
        <w:tc>
          <w:tcPr/>
          <w:p>
            <w:pPr>
              <w:pStyle w:val="Compact"/>
              <w:jc w:val="right"/>
            </w:pPr>
            <w:r>
              <w:t xml:space="preserve">10</w:t>
            </w:r>
          </w:p>
        </w:tc>
        <w:tc>
          <w:tcPr/>
          <w:p>
            <w:pPr>
              <w:pStyle w:val="Compact"/>
              <w:jc w:val="right"/>
            </w:pPr>
            <w:r>
              <w:t xml:space="preserve">346</w:t>
            </w:r>
          </w:p>
        </w:tc>
      </w:tr>
      <w:tr>
        <w:tc>
          <w:tcPr/>
          <w:p>
            <w:pPr>
              <w:pStyle w:val="Compact"/>
            </w:pPr>
            <w:r>
              <w:t xml:space="preserve">India</w:t>
            </w:r>
          </w:p>
        </w:tc>
        <w:tc>
          <w:tcPr/>
          <w:p>
            <w:pPr>
              <w:pStyle w:val="Compact"/>
              <w:jc w:val="right"/>
            </w:pPr>
            <w:r>
              <w:t xml:space="preserve">37</w:t>
            </w:r>
          </w:p>
        </w:tc>
        <w:tc>
          <w:tcPr/>
          <w:p>
            <w:pPr>
              <w:pStyle w:val="Compact"/>
              <w:jc w:val="right"/>
            </w:pPr>
            <w:r>
              <w:t xml:space="preserve">34</w:t>
            </w:r>
          </w:p>
        </w:tc>
        <w:tc>
          <w:tcPr/>
          <w:p>
            <w:pPr>
              <w:pStyle w:val="Compact"/>
              <w:jc w:val="right"/>
            </w:pPr>
            <w:r>
              <w:t xml:space="preserve">46</w:t>
            </w:r>
          </w:p>
        </w:tc>
        <w:tc>
          <w:tcPr/>
          <w:p>
            <w:pPr>
              <w:pStyle w:val="Compact"/>
              <w:jc w:val="right"/>
            </w:pPr>
            <w:r>
              <w:t xml:space="preserve">53</w:t>
            </w:r>
          </w:p>
        </w:tc>
        <w:tc>
          <w:tcPr/>
          <w:p>
            <w:pPr>
              <w:pStyle w:val="Compact"/>
              <w:jc w:val="right"/>
            </w:pPr>
            <w:r>
              <w:t xml:space="preserve">64</w:t>
            </w:r>
          </w:p>
        </w:tc>
        <w:tc>
          <w:tcPr/>
          <w:p>
            <w:pPr>
              <w:pStyle w:val="Compact"/>
              <w:jc w:val="right"/>
            </w:pPr>
            <w:r>
              <w:t xml:space="preserve">51</w:t>
            </w:r>
          </w:p>
        </w:tc>
        <w:tc>
          <w:tcPr/>
          <w:p>
            <w:pPr>
              <w:pStyle w:val="Compact"/>
              <w:jc w:val="right"/>
            </w:pPr>
            <w:r>
              <w:t xml:space="preserve">16</w:t>
            </w:r>
          </w:p>
        </w:tc>
        <w:tc>
          <w:tcPr/>
          <w:p>
            <w:pPr>
              <w:pStyle w:val="Compact"/>
              <w:jc w:val="right"/>
            </w:pPr>
            <w:r>
              <w:t xml:space="preserve">228</w:t>
            </w:r>
          </w:p>
        </w:tc>
      </w:tr>
      <w:tr>
        <w:tc>
          <w:tcPr/>
          <w:p>
            <w:pPr>
              <w:pStyle w:val="Compact"/>
            </w:pPr>
            <w:r>
              <w:t xml:space="preserve">Bangladesh</w:t>
            </w:r>
          </w:p>
        </w:tc>
        <w:tc>
          <w:tcPr/>
          <w:p>
            <w:pPr>
              <w:pStyle w:val="Compact"/>
              <w:jc w:val="right"/>
            </w:pPr>
            <w:r>
              <w:t xml:space="preserve">32</w:t>
            </w:r>
          </w:p>
        </w:tc>
        <w:tc>
          <w:tcPr/>
          <w:p>
            <w:pPr>
              <w:pStyle w:val="Compact"/>
              <w:jc w:val="right"/>
            </w:pPr>
            <w:r>
              <w:t xml:space="preserve">27</w:t>
            </w:r>
          </w:p>
        </w:tc>
        <w:tc>
          <w:tcPr/>
          <w:p>
            <w:pPr>
              <w:pStyle w:val="Compact"/>
              <w:jc w:val="right"/>
            </w:pPr>
            <w:r>
              <w:t xml:space="preserve">47</w:t>
            </w:r>
          </w:p>
        </w:tc>
        <w:tc>
          <w:tcPr/>
          <w:p>
            <w:pPr>
              <w:pStyle w:val="Compact"/>
              <w:jc w:val="right"/>
            </w:pPr>
            <w:r>
              <w:t xml:space="preserve">32</w:t>
            </w:r>
          </w:p>
        </w:tc>
        <w:tc>
          <w:tcPr/>
          <w:p>
            <w:pPr>
              <w:pStyle w:val="Compact"/>
              <w:jc w:val="right"/>
            </w:pPr>
            <w:r>
              <w:t xml:space="preserve">74</w:t>
            </w:r>
          </w:p>
        </w:tc>
        <w:tc>
          <w:tcPr/>
          <w:p>
            <w:pPr>
              <w:pStyle w:val="Compact"/>
              <w:jc w:val="right"/>
            </w:pPr>
            <w:r>
              <w:t xml:space="preserve">33</w:t>
            </w:r>
          </w:p>
        </w:tc>
        <w:tc>
          <w:tcPr/>
          <w:p>
            <w:pPr>
              <w:pStyle w:val="Compact"/>
              <w:jc w:val="right"/>
            </w:pPr>
            <w:r>
              <w:t xml:space="preserve">6</w:t>
            </w:r>
          </w:p>
        </w:tc>
        <w:tc>
          <w:tcPr/>
          <w:p>
            <w:pPr>
              <w:pStyle w:val="Compact"/>
              <w:jc w:val="right"/>
            </w:pPr>
            <w:r>
              <w:t xml:space="preserve">121</w:t>
            </w:r>
          </w:p>
        </w:tc>
      </w:tr>
      <w:tr>
        <w:tc>
          <w:tcPr/>
          <w:p>
            <w:pPr>
              <w:pStyle w:val="Compact"/>
            </w:pPr>
            <w:r>
              <w:t xml:space="preserve">Nepal</w:t>
            </w:r>
          </w:p>
        </w:tc>
        <w:tc>
          <w:tcPr/>
          <w:p>
            <w:pPr>
              <w:pStyle w:val="Compact"/>
              <w:jc w:val="right"/>
            </w:pPr>
            <w:r>
              <w:t xml:space="preserve">13</w:t>
            </w:r>
          </w:p>
        </w:tc>
        <w:tc>
          <w:tcPr/>
          <w:p>
            <w:pPr>
              <w:pStyle w:val="Compact"/>
              <w:jc w:val="right"/>
            </w:pPr>
            <w:r>
              <w:t xml:space="preserve">14</w:t>
            </w:r>
          </w:p>
        </w:tc>
        <w:tc>
          <w:tcPr/>
          <w:p>
            <w:pPr>
              <w:pStyle w:val="Compact"/>
              <w:jc w:val="right"/>
            </w:pPr>
            <w:r>
              <w:t xml:space="preserve">41</w:t>
            </w:r>
          </w:p>
        </w:tc>
        <w:tc>
          <w:tcPr/>
          <w:p>
            <w:pPr>
              <w:pStyle w:val="Compact"/>
              <w:jc w:val="right"/>
            </w:pPr>
            <w:r>
              <w:t xml:space="preserve">23</w:t>
            </w:r>
          </w:p>
        </w:tc>
        <w:tc>
          <w:tcPr/>
          <w:p>
            <w:pPr>
              <w:pStyle w:val="Compact"/>
              <w:jc w:val="right"/>
            </w:pPr>
            <w:r>
              <w:t xml:space="preserve">45</w:t>
            </w:r>
          </w:p>
        </w:tc>
        <w:tc>
          <w:tcPr/>
          <w:p>
            <w:pPr>
              <w:pStyle w:val="Compact"/>
              <w:jc w:val="right"/>
            </w:pPr>
            <w:r>
              <w:t xml:space="preserve">27</w:t>
            </w:r>
          </w:p>
        </w:tc>
        <w:tc>
          <w:tcPr/>
          <w:p>
            <w:pPr>
              <w:pStyle w:val="Compact"/>
              <w:jc w:val="right"/>
            </w:pPr>
            <w:r>
              <w:t xml:space="preserve">4</w:t>
            </w:r>
          </w:p>
        </w:tc>
        <w:tc>
          <w:tcPr/>
          <w:p>
            <w:pPr>
              <w:pStyle w:val="Compact"/>
              <w:jc w:val="right"/>
            </w:pPr>
            <w:r>
              <w:t xml:space="preserve">85</w:t>
            </w:r>
          </w:p>
        </w:tc>
      </w:tr>
      <w:tr>
        <w:tc>
          <w:tcPr/>
          <w:p>
            <w:pPr>
              <w:pStyle w:val="Compact"/>
            </w:pPr>
            <w:r>
              <w:t xml:space="preserve">Pakistan</w:t>
            </w:r>
          </w:p>
        </w:tc>
        <w:tc>
          <w:tcPr/>
          <w:p>
            <w:pPr>
              <w:pStyle w:val="Compact"/>
              <w:jc w:val="right"/>
            </w:pPr>
            <w:r>
              <w:t xml:space="preserve">19</w:t>
            </w:r>
          </w:p>
        </w:tc>
        <w:tc>
          <w:tcPr/>
          <w:p>
            <w:pPr>
              <w:pStyle w:val="Compact"/>
              <w:jc w:val="right"/>
            </w:pPr>
            <w:r>
              <w:t xml:space="preserve">22</w:t>
            </w:r>
          </w:p>
        </w:tc>
        <w:tc>
          <w:tcPr/>
          <w:p>
            <w:pPr>
              <w:pStyle w:val="Compact"/>
              <w:jc w:val="right"/>
            </w:pPr>
            <w:r>
              <w:t xml:space="preserve">30</w:t>
            </w:r>
          </w:p>
        </w:tc>
        <w:tc>
          <w:tcPr/>
          <w:p>
            <w:pPr>
              <w:pStyle w:val="Compact"/>
              <w:jc w:val="right"/>
            </w:pPr>
            <w:r>
              <w:t xml:space="preserve">17</w:t>
            </w:r>
          </w:p>
        </w:tc>
        <w:tc>
          <w:tcPr/>
          <w:p>
            <w:pPr>
              <w:pStyle w:val="Compact"/>
              <w:jc w:val="right"/>
            </w:pPr>
            <w:r>
              <w:t xml:space="preserve">54</w:t>
            </w:r>
          </w:p>
        </w:tc>
        <w:tc>
          <w:tcPr/>
          <w:p>
            <w:pPr>
              <w:pStyle w:val="Compact"/>
              <w:jc w:val="right"/>
            </w:pPr>
            <w:r>
              <w:t xml:space="preserve">29</w:t>
            </w:r>
          </w:p>
        </w:tc>
        <w:tc>
          <w:tcPr/>
          <w:p>
            <w:pPr>
              <w:pStyle w:val="Compact"/>
              <w:jc w:val="right"/>
            </w:pPr>
            <w:r>
              <w:t xml:space="preserve">6</w:t>
            </w:r>
          </w:p>
        </w:tc>
        <w:tc>
          <w:tcPr/>
          <w:p>
            <w:pPr>
              <w:pStyle w:val="Compact"/>
              <w:jc w:val="right"/>
            </w:pPr>
            <w:r>
              <w:t xml:space="preserve">74</w:t>
            </w:r>
          </w:p>
        </w:tc>
      </w:tr>
      <w:tr>
        <w:tc>
          <w:tcPr/>
          <w:p>
            <w:pPr>
              <w:pStyle w:val="Compact"/>
            </w:pPr>
            <w:r>
              <w:t xml:space="preserve">Kenya</w:t>
            </w:r>
          </w:p>
        </w:tc>
        <w:tc>
          <w:tcPr/>
          <w:p>
            <w:pPr>
              <w:pStyle w:val="Compact"/>
              <w:jc w:val="right"/>
            </w:pPr>
            <w:r>
              <w:t xml:space="preserve">35</w:t>
            </w:r>
          </w:p>
        </w:tc>
        <w:tc>
          <w:tcPr/>
          <w:p>
            <w:pPr>
              <w:pStyle w:val="Compact"/>
              <w:jc w:val="right"/>
            </w:pPr>
            <w:r>
              <w:t xml:space="preserve">26</w:t>
            </w:r>
          </w:p>
        </w:tc>
        <w:tc>
          <w:tcPr/>
          <w:p>
            <w:pPr>
              <w:pStyle w:val="Compact"/>
              <w:jc w:val="right"/>
            </w:pPr>
            <w:r>
              <w:t xml:space="preserve">17</w:t>
            </w:r>
          </w:p>
        </w:tc>
        <w:tc>
          <w:tcPr/>
          <w:p>
            <w:pPr>
              <w:pStyle w:val="Compact"/>
              <w:jc w:val="right"/>
            </w:pPr>
            <w:r>
              <w:t xml:space="preserve">25</w:t>
            </w:r>
          </w:p>
        </w:tc>
        <w:tc>
          <w:tcPr/>
          <w:p>
            <w:pPr>
              <w:pStyle w:val="Compact"/>
              <w:jc w:val="right"/>
            </w:pPr>
            <w:r>
              <w:t xml:space="preserve">53</w:t>
            </w:r>
          </w:p>
        </w:tc>
        <w:tc>
          <w:tcPr/>
          <w:p>
            <w:pPr>
              <w:pStyle w:val="Compact"/>
              <w:jc w:val="right"/>
            </w:pPr>
            <w:r>
              <w:t xml:space="preserve">34</w:t>
            </w:r>
          </w:p>
        </w:tc>
        <w:tc>
          <w:tcPr/>
          <w:p>
            <w:pPr>
              <w:pStyle w:val="Compact"/>
              <w:jc w:val="right"/>
            </w:pPr>
            <w:r>
              <w:t xml:space="preserve">7</w:t>
            </w:r>
          </w:p>
        </w:tc>
        <w:tc>
          <w:tcPr/>
          <w:p>
            <w:pPr>
              <w:pStyle w:val="Compact"/>
              <w:jc w:val="right"/>
            </w:pPr>
            <w:r>
              <w:t xml:space="preserve">95</w:t>
            </w:r>
          </w:p>
        </w:tc>
      </w:tr>
      <w:tr>
        <w:tc>
          <w:tcPr/>
          <w:p>
            <w:pPr>
              <w:pStyle w:val="Compact"/>
            </w:pPr>
            <w:r>
              <w:t xml:space="preserve">Ghana</w:t>
            </w:r>
          </w:p>
        </w:tc>
        <w:tc>
          <w:tcPr/>
          <w:p>
            <w:pPr>
              <w:pStyle w:val="Compact"/>
              <w:jc w:val="right"/>
            </w:pPr>
            <w:r>
              <w:t xml:space="preserve">19</w:t>
            </w:r>
          </w:p>
        </w:tc>
        <w:tc>
          <w:tcPr/>
          <w:p>
            <w:pPr>
              <w:pStyle w:val="Compact"/>
              <w:jc w:val="right"/>
            </w:pPr>
            <w:r>
              <w:t xml:space="preserve">29</w:t>
            </w:r>
          </w:p>
        </w:tc>
        <w:tc>
          <w:tcPr/>
          <w:p>
            <w:pPr>
              <w:pStyle w:val="Compact"/>
              <w:jc w:val="right"/>
            </w:pPr>
            <w:r>
              <w:t xml:space="preserve">19</w:t>
            </w:r>
          </w:p>
        </w:tc>
        <w:tc>
          <w:tcPr/>
          <w:p>
            <w:pPr>
              <w:pStyle w:val="Compact"/>
              <w:jc w:val="right"/>
            </w:pPr>
            <w:r>
              <w:t xml:space="preserve">17</w:t>
            </w:r>
          </w:p>
        </w:tc>
        <w:tc>
          <w:tcPr/>
          <w:p>
            <w:pPr>
              <w:pStyle w:val="Compact"/>
              <w:jc w:val="right"/>
            </w:pPr>
            <w:r>
              <w:t xml:space="preserve">50</w:t>
            </w:r>
          </w:p>
        </w:tc>
        <w:tc>
          <w:tcPr/>
          <w:p>
            <w:pPr>
              <w:pStyle w:val="Compact"/>
              <w:jc w:val="right"/>
            </w:pPr>
            <w:r>
              <w:t xml:space="preserve">23</w:t>
            </w:r>
          </w:p>
        </w:tc>
        <w:tc>
          <w:tcPr/>
          <w:p>
            <w:pPr>
              <w:pStyle w:val="Compact"/>
              <w:jc w:val="right"/>
            </w:pPr>
            <w:r>
              <w:t xml:space="preserve">6</w:t>
            </w:r>
          </w:p>
        </w:tc>
        <w:tc>
          <w:tcPr/>
          <w:p>
            <w:pPr>
              <w:pStyle w:val="Compact"/>
              <w:jc w:val="right"/>
            </w:pPr>
            <w:r>
              <w:t xml:space="preserve">65</w:t>
            </w:r>
          </w:p>
        </w:tc>
      </w:tr>
      <w:tr>
        <w:tc>
          <w:tcPr/>
          <w:p>
            <w:pPr>
              <w:pStyle w:val="Compact"/>
            </w:pPr>
            <w:r>
              <w:t xml:space="preserve">Malawi</w:t>
            </w:r>
          </w:p>
        </w:tc>
        <w:tc>
          <w:tcPr/>
          <w:p>
            <w:pPr>
              <w:pStyle w:val="Compact"/>
              <w:jc w:val="right"/>
            </w:pPr>
            <w:r>
              <w:t xml:space="preserve">47</w:t>
            </w:r>
          </w:p>
        </w:tc>
        <w:tc>
          <w:tcPr/>
          <w:p>
            <w:pPr>
              <w:pStyle w:val="Compact"/>
              <w:jc w:val="right"/>
            </w:pPr>
            <w:r>
              <w:t xml:space="preserve">18</w:t>
            </w:r>
          </w:p>
        </w:tc>
        <w:tc>
          <w:tcPr/>
          <w:p>
            <w:pPr>
              <w:pStyle w:val="Compact"/>
              <w:jc w:val="right"/>
            </w:pPr>
            <w:r>
              <w:t xml:space="preserve">17</w:t>
            </w:r>
          </w:p>
        </w:tc>
        <w:tc>
          <w:tcPr/>
          <w:p>
            <w:pPr>
              <w:pStyle w:val="Compact"/>
              <w:jc w:val="right"/>
            </w:pPr>
            <w:r>
              <w:t xml:space="preserve">21</w:t>
            </w:r>
          </w:p>
        </w:tc>
        <w:tc>
          <w:tcPr/>
          <w:p>
            <w:pPr>
              <w:pStyle w:val="Compact"/>
              <w:jc w:val="right"/>
            </w:pPr>
            <w:r>
              <w:t xml:space="preserve">61</w:t>
            </w:r>
          </w:p>
        </w:tc>
        <w:tc>
          <w:tcPr/>
          <w:p>
            <w:pPr>
              <w:pStyle w:val="Compact"/>
              <w:jc w:val="right"/>
            </w:pPr>
            <w:r>
              <w:t xml:space="preserve">31</w:t>
            </w:r>
          </w:p>
        </w:tc>
        <w:tc>
          <w:tcPr/>
          <w:p>
            <w:pPr>
              <w:pStyle w:val="Compact"/>
              <w:jc w:val="right"/>
            </w:pPr>
            <w:r>
              <w:t xml:space="preserve">3</w:t>
            </w:r>
          </w:p>
        </w:tc>
        <w:tc>
          <w:tcPr/>
          <w:p>
            <w:pPr>
              <w:pStyle w:val="Compact"/>
              <w:jc w:val="right"/>
            </w:pPr>
            <w:r>
              <w:t xml:space="preserve">63</w:t>
            </w:r>
          </w:p>
        </w:tc>
      </w:tr>
      <w:tr>
        <w:tc>
          <w:tcPr/>
          <w:p>
            <w:pPr>
              <w:pStyle w:val="Compact"/>
            </w:pPr>
            <w:r>
              <w:t xml:space="preserve">Niger</w:t>
            </w:r>
          </w:p>
        </w:tc>
        <w:tc>
          <w:tcPr/>
          <w:p>
            <w:pPr>
              <w:pStyle w:val="Compact"/>
              <w:jc w:val="right"/>
            </w:pPr>
            <w:r>
              <w:t xml:space="preserve">26</w:t>
            </w:r>
          </w:p>
        </w:tc>
        <w:tc>
          <w:tcPr/>
          <w:p>
            <w:pPr>
              <w:pStyle w:val="Compact"/>
              <w:jc w:val="right"/>
            </w:pPr>
            <w:r>
              <w:t xml:space="preserve">5</w:t>
            </w:r>
          </w:p>
        </w:tc>
        <w:tc>
          <w:tcPr/>
          <w:p>
            <w:pPr>
              <w:pStyle w:val="Compact"/>
              <w:jc w:val="right"/>
            </w:pPr>
            <w:r>
              <w:t xml:space="preserve">8</w:t>
            </w:r>
          </w:p>
        </w:tc>
        <w:tc>
          <w:tcPr/>
          <w:p>
            <w:pPr>
              <w:pStyle w:val="Compact"/>
              <w:jc w:val="right"/>
            </w:pPr>
            <w:r>
              <w:t xml:space="preserve">12</w:t>
            </w:r>
          </w:p>
        </w:tc>
        <w:tc>
          <w:tcPr/>
          <w:p>
            <w:pPr>
              <w:pStyle w:val="Compact"/>
              <w:jc w:val="right"/>
            </w:pPr>
            <w:r>
              <w:t xml:space="preserve">27</w:t>
            </w:r>
          </w:p>
        </w:tc>
        <w:tc>
          <w:tcPr/>
          <w:p>
            <w:pPr>
              <w:pStyle w:val="Compact"/>
              <w:jc w:val="right"/>
            </w:pPr>
            <w:r>
              <w:t xml:space="preserve">15</w:t>
            </w:r>
          </w:p>
        </w:tc>
        <w:tc>
          <w:tcPr/>
          <w:p>
            <w:pPr>
              <w:pStyle w:val="Compact"/>
              <w:jc w:val="right"/>
            </w:pPr>
            <w:r>
              <w:t xml:space="preserve">5</w:t>
            </w:r>
          </w:p>
        </w:tc>
        <w:tc>
          <w:tcPr/>
          <w:p>
            <w:pPr>
              <w:pStyle w:val="Compact"/>
              <w:jc w:val="right"/>
            </w:pPr>
            <w:r>
              <w:t xml:space="preserve">53</w:t>
            </w:r>
          </w:p>
        </w:tc>
      </w:tr>
      <w:tr>
        <w:tc>
          <w:tcPr/>
          <w:p>
            <w:pPr>
              <w:pStyle w:val="Compact"/>
            </w:pPr>
            <w:r>
              <w:t xml:space="preserve">Indonesia</w:t>
            </w:r>
          </w:p>
        </w:tc>
        <w:tc>
          <w:tcPr/>
          <w:p>
            <w:pPr>
              <w:pStyle w:val="Compact"/>
              <w:jc w:val="right"/>
            </w:pPr>
            <w:r>
              <w:t xml:space="preserve">7</w:t>
            </w:r>
          </w:p>
        </w:tc>
        <w:tc>
          <w:tcPr/>
          <w:p>
            <w:pPr>
              <w:pStyle w:val="Compact"/>
              <w:jc w:val="right"/>
            </w:pPr>
            <w:r>
              <w:t xml:space="preserve">15</w:t>
            </w:r>
          </w:p>
        </w:tc>
        <w:tc>
          <w:tcPr/>
          <w:p>
            <w:pPr>
              <w:pStyle w:val="Compact"/>
              <w:jc w:val="right"/>
            </w:pPr>
            <w:r>
              <w:t xml:space="preserve">24</w:t>
            </w:r>
          </w:p>
        </w:tc>
        <w:tc>
          <w:tcPr/>
          <w:p>
            <w:pPr>
              <w:pStyle w:val="Compact"/>
              <w:jc w:val="right"/>
            </w:pPr>
            <w:r>
              <w:t xml:space="preserve">12</w:t>
            </w:r>
          </w:p>
        </w:tc>
        <w:tc>
          <w:tcPr/>
          <w:p>
            <w:pPr>
              <w:pStyle w:val="Compact"/>
              <w:jc w:val="right"/>
            </w:pPr>
            <w:r>
              <w:t xml:space="preserve">34</w:t>
            </w:r>
          </w:p>
        </w:tc>
        <w:tc>
          <w:tcPr/>
          <w:p>
            <w:pPr>
              <w:pStyle w:val="Compact"/>
              <w:jc w:val="right"/>
            </w:pPr>
            <w:r>
              <w:t xml:space="preserve">12</w:t>
            </w:r>
          </w:p>
        </w:tc>
        <w:tc>
          <w:tcPr/>
          <w:p>
            <w:pPr>
              <w:pStyle w:val="Compact"/>
              <w:jc w:val="right"/>
            </w:pPr>
            <w:r>
              <w:t xml:space="preserve">5</w:t>
            </w:r>
          </w:p>
        </w:tc>
        <w:tc>
          <w:tcPr/>
          <w:p>
            <w:pPr>
              <w:pStyle w:val="Compact"/>
              <w:jc w:val="right"/>
            </w:pPr>
            <w:r>
              <w:t xml:space="preserve">44</w:t>
            </w:r>
          </w:p>
        </w:tc>
      </w:tr>
      <w:tr>
        <w:tc>
          <w:tcPr/>
          <w:p>
            <w:pPr>
              <w:pStyle w:val="Compact"/>
            </w:pPr>
            <w:r>
              <w:t xml:space="preserve">Burkina Faso</w:t>
            </w:r>
          </w:p>
        </w:tc>
        <w:tc>
          <w:tcPr/>
          <w:p>
            <w:pPr>
              <w:pStyle w:val="Compact"/>
              <w:jc w:val="right"/>
            </w:pPr>
            <w:r>
              <w:t xml:space="preserve">19</w:t>
            </w:r>
          </w:p>
        </w:tc>
        <w:tc>
          <w:tcPr/>
          <w:p>
            <w:pPr>
              <w:pStyle w:val="Compact"/>
              <w:jc w:val="right"/>
            </w:pPr>
            <w:r>
              <w:t xml:space="preserve">9</w:t>
            </w:r>
          </w:p>
        </w:tc>
        <w:tc>
          <w:tcPr/>
          <w:p>
            <w:pPr>
              <w:pStyle w:val="Compact"/>
              <w:jc w:val="right"/>
            </w:pPr>
            <w:r>
              <w:t xml:space="preserve">21</w:t>
            </w:r>
          </w:p>
        </w:tc>
        <w:tc>
          <w:tcPr/>
          <w:p>
            <w:pPr>
              <w:pStyle w:val="Compact"/>
              <w:jc w:val="right"/>
            </w:pPr>
            <w:r>
              <w:t xml:space="preserve">13</w:t>
            </w:r>
          </w:p>
        </w:tc>
        <w:tc>
          <w:tcPr/>
          <w:p>
            <w:pPr>
              <w:pStyle w:val="Compact"/>
              <w:jc w:val="right"/>
            </w:pPr>
            <w:r>
              <w:t xml:space="preserve">36</w:t>
            </w:r>
          </w:p>
        </w:tc>
        <w:tc>
          <w:tcPr/>
          <w:p>
            <w:pPr>
              <w:pStyle w:val="Compact"/>
              <w:jc w:val="right"/>
            </w:pPr>
            <w:r>
              <w:t xml:space="preserve">16</w:t>
            </w:r>
          </w:p>
        </w:tc>
        <w:tc>
          <w:tcPr/>
          <w:p>
            <w:pPr>
              <w:pStyle w:val="Compact"/>
              <w:jc w:val="right"/>
            </w:pPr>
            <w:r>
              <w:t xml:space="preserve">5</w:t>
            </w:r>
          </w:p>
        </w:tc>
        <w:tc>
          <w:tcPr/>
          <w:p>
            <w:pPr>
              <w:pStyle w:val="Compact"/>
              <w:jc w:val="right"/>
            </w:pPr>
            <w:r>
              <w:t xml:space="preserve">55</w:t>
            </w:r>
          </w:p>
        </w:tc>
      </w:tr>
      <w:tr>
        <w:tc>
          <w:tcPr/>
          <w:p>
            <w:pPr>
              <w:pStyle w:val="Compact"/>
            </w:pPr>
            <w:r>
              <w:t xml:space="preserve">Nigeria</w:t>
            </w:r>
          </w:p>
        </w:tc>
        <w:tc>
          <w:tcPr/>
          <w:p>
            <w:pPr>
              <w:pStyle w:val="Compact"/>
              <w:jc w:val="right"/>
            </w:pPr>
            <w:r>
              <w:t xml:space="preserve">19</w:t>
            </w:r>
          </w:p>
        </w:tc>
        <w:tc>
          <w:tcPr/>
          <w:p>
            <w:pPr>
              <w:pStyle w:val="Compact"/>
              <w:jc w:val="right"/>
            </w:pPr>
            <w:r>
              <w:t xml:space="preserve">27</w:t>
            </w:r>
          </w:p>
        </w:tc>
        <w:tc>
          <w:tcPr/>
          <w:p>
            <w:pPr>
              <w:pStyle w:val="Compact"/>
              <w:jc w:val="right"/>
            </w:pPr>
            <w:r>
              <w:t xml:space="preserve">12</w:t>
            </w:r>
          </w:p>
        </w:tc>
        <w:tc>
          <w:tcPr/>
          <w:p>
            <w:pPr>
              <w:pStyle w:val="Compact"/>
              <w:jc w:val="right"/>
            </w:pPr>
            <w:r>
              <w:t xml:space="preserve">14</w:t>
            </w:r>
          </w:p>
        </w:tc>
        <w:tc>
          <w:tcPr/>
          <w:p>
            <w:pPr>
              <w:pStyle w:val="Compact"/>
              <w:jc w:val="right"/>
            </w:pPr>
            <w:r>
              <w:t xml:space="preserve">44</w:t>
            </w:r>
          </w:p>
        </w:tc>
        <w:tc>
          <w:tcPr/>
          <w:p>
            <w:pPr>
              <w:pStyle w:val="Compact"/>
              <w:jc w:val="right"/>
            </w:pPr>
            <w:r>
              <w:t xml:space="preserve">19</w:t>
            </w:r>
          </w:p>
        </w:tc>
        <w:tc>
          <w:tcPr/>
          <w:p>
            <w:pPr>
              <w:pStyle w:val="Compact"/>
              <w:jc w:val="right"/>
            </w:pPr>
            <w:r>
              <w:t xml:space="preserve">4</w:t>
            </w:r>
          </w:p>
        </w:tc>
        <w:tc>
          <w:tcPr/>
          <w:p>
            <w:pPr>
              <w:pStyle w:val="Compact"/>
              <w:jc w:val="right"/>
            </w:pPr>
            <w:r>
              <w:t xml:space="preserve">64</w:t>
            </w:r>
          </w:p>
        </w:tc>
      </w:tr>
      <w:tr>
        <w:tc>
          <w:tcPr/>
          <w:p>
            <w:pPr>
              <w:pStyle w:val="Compact"/>
            </w:pPr>
            <w:r>
              <w:t xml:space="preserve">Uganda</w:t>
            </w:r>
          </w:p>
        </w:tc>
        <w:tc>
          <w:tcPr/>
          <w:p>
            <w:pPr>
              <w:pStyle w:val="Compact"/>
              <w:jc w:val="right"/>
            </w:pPr>
            <w:r>
              <w:t xml:space="preserve">25</w:t>
            </w:r>
          </w:p>
        </w:tc>
        <w:tc>
          <w:tcPr/>
          <w:p>
            <w:pPr>
              <w:pStyle w:val="Compact"/>
              <w:jc w:val="right"/>
            </w:pPr>
            <w:r>
              <w:t xml:space="preserve">26</w:t>
            </w:r>
          </w:p>
        </w:tc>
        <w:tc>
          <w:tcPr/>
          <w:p>
            <w:pPr>
              <w:pStyle w:val="Compact"/>
              <w:jc w:val="right"/>
            </w:pPr>
            <w:r>
              <w:t xml:space="preserve">10</w:t>
            </w:r>
          </w:p>
        </w:tc>
        <w:tc>
          <w:tcPr/>
          <w:p>
            <w:pPr>
              <w:pStyle w:val="Compact"/>
              <w:jc w:val="right"/>
            </w:pPr>
            <w:r>
              <w:t xml:space="preserve">14</w:t>
            </w:r>
          </w:p>
        </w:tc>
        <w:tc>
          <w:tcPr/>
          <w:p>
            <w:pPr>
              <w:pStyle w:val="Compact"/>
              <w:jc w:val="right"/>
            </w:pPr>
            <w:r>
              <w:t xml:space="preserve">47</w:t>
            </w:r>
          </w:p>
        </w:tc>
        <w:tc>
          <w:tcPr/>
          <w:p>
            <w:pPr>
              <w:pStyle w:val="Compact"/>
              <w:jc w:val="right"/>
            </w:pPr>
            <w:r>
              <w:t xml:space="preserve">26</w:t>
            </w:r>
          </w:p>
        </w:tc>
        <w:tc>
          <w:tcPr/>
          <w:p>
            <w:pPr>
              <w:pStyle w:val="Compact"/>
              <w:jc w:val="right"/>
            </w:pPr>
            <w:r>
              <w:t xml:space="preserve">6</w:t>
            </w:r>
          </w:p>
        </w:tc>
        <w:tc>
          <w:tcPr/>
          <w:p>
            <w:pPr>
              <w:pStyle w:val="Compact"/>
              <w:jc w:val="right"/>
            </w:pPr>
            <w:r>
              <w:t xml:space="preserve">52</w:t>
            </w:r>
          </w:p>
        </w:tc>
      </w:tr>
      <w:tr>
        <w:tc>
          <w:tcPr/>
          <w:p>
            <w:pPr>
              <w:pStyle w:val="Compact"/>
            </w:pPr>
            <w:r>
              <w:t xml:space="preserve">Mali</w:t>
            </w:r>
          </w:p>
        </w:tc>
        <w:tc>
          <w:tcPr/>
          <w:p>
            <w:pPr>
              <w:pStyle w:val="Compact"/>
              <w:jc w:val="right"/>
            </w:pPr>
            <w:r>
              <w:t xml:space="preserve">18</w:t>
            </w:r>
          </w:p>
        </w:tc>
        <w:tc>
          <w:tcPr/>
          <w:p>
            <w:pPr>
              <w:pStyle w:val="Compact"/>
              <w:jc w:val="right"/>
            </w:pPr>
            <w:r>
              <w:t xml:space="preserve">6</w:t>
            </w:r>
          </w:p>
        </w:tc>
        <w:tc>
          <w:tcPr/>
          <w:p>
            <w:pPr>
              <w:pStyle w:val="Compact"/>
              <w:jc w:val="right"/>
            </w:pPr>
            <w:r>
              <w:t xml:space="preserve">7</w:t>
            </w:r>
          </w:p>
        </w:tc>
        <w:tc>
          <w:tcPr/>
          <w:p>
            <w:pPr>
              <w:pStyle w:val="Compact"/>
              <w:jc w:val="right"/>
            </w:pPr>
            <w:r>
              <w:t xml:space="preserve">9</w:t>
            </w:r>
          </w:p>
        </w:tc>
        <w:tc>
          <w:tcPr/>
          <w:p>
            <w:pPr>
              <w:pStyle w:val="Compact"/>
              <w:jc w:val="right"/>
            </w:pPr>
            <w:r>
              <w:t xml:space="preserve">22</w:t>
            </w:r>
          </w:p>
        </w:tc>
        <w:tc>
          <w:tcPr/>
          <w:p>
            <w:pPr>
              <w:pStyle w:val="Compact"/>
              <w:jc w:val="right"/>
            </w:pPr>
            <w:r>
              <w:t xml:space="preserve">14</w:t>
            </w:r>
          </w:p>
        </w:tc>
        <w:tc>
          <w:tcPr/>
          <w:p>
            <w:pPr>
              <w:pStyle w:val="Compact"/>
              <w:jc w:val="right"/>
            </w:pPr>
            <w:r>
              <w:t xml:space="preserve">5</w:t>
            </w:r>
          </w:p>
        </w:tc>
        <w:tc>
          <w:tcPr/>
          <w:p>
            <w:pPr>
              <w:pStyle w:val="Compact"/>
              <w:jc w:val="right"/>
            </w:pPr>
            <w:r>
              <w:t xml:space="preserve">40</w:t>
            </w:r>
          </w:p>
        </w:tc>
      </w:tr>
      <w:tr>
        <w:tc>
          <w:tcPr/>
          <w:p>
            <w:pPr>
              <w:pStyle w:val="Compact"/>
            </w:pPr>
            <w:r>
              <w:t xml:space="preserve">South Africa</w:t>
            </w:r>
          </w:p>
        </w:tc>
        <w:tc>
          <w:tcPr/>
          <w:p>
            <w:pPr>
              <w:pStyle w:val="Compact"/>
              <w:jc w:val="right"/>
            </w:pPr>
            <w:r>
              <w:t xml:space="preserve">13</w:t>
            </w:r>
          </w:p>
        </w:tc>
        <w:tc>
          <w:tcPr/>
          <w:p>
            <w:pPr>
              <w:pStyle w:val="Compact"/>
              <w:jc w:val="right"/>
            </w:pPr>
            <w:r>
              <w:t xml:space="preserve">30</w:t>
            </w:r>
          </w:p>
        </w:tc>
        <w:tc>
          <w:tcPr/>
          <w:p>
            <w:pPr>
              <w:pStyle w:val="Compact"/>
              <w:jc w:val="right"/>
            </w:pPr>
            <w:r>
              <w:t xml:space="preserve">10</w:t>
            </w:r>
          </w:p>
        </w:tc>
        <w:tc>
          <w:tcPr/>
          <w:p>
            <w:pPr>
              <w:pStyle w:val="Compact"/>
              <w:jc w:val="right"/>
            </w:pPr>
            <w:r>
              <w:t xml:space="preserve">14</w:t>
            </w:r>
          </w:p>
        </w:tc>
        <w:tc>
          <w:tcPr/>
          <w:p>
            <w:pPr>
              <w:pStyle w:val="Compact"/>
              <w:jc w:val="right"/>
            </w:pPr>
            <w:r>
              <w:t xml:space="preserve">39</w:t>
            </w:r>
          </w:p>
        </w:tc>
        <w:tc>
          <w:tcPr/>
          <w:p>
            <w:pPr>
              <w:pStyle w:val="Compact"/>
              <w:jc w:val="right"/>
            </w:pPr>
            <w:r>
              <w:t xml:space="preserve">15</w:t>
            </w:r>
          </w:p>
        </w:tc>
        <w:tc>
          <w:tcPr/>
          <w:p>
            <w:pPr>
              <w:pStyle w:val="Compact"/>
              <w:jc w:val="right"/>
            </w:pPr>
            <w:r>
              <w:t xml:space="preserve">1</w:t>
            </w:r>
          </w:p>
        </w:tc>
        <w:tc>
          <w:tcPr/>
          <w:p>
            <w:pPr>
              <w:pStyle w:val="Compact"/>
              <w:jc w:val="right"/>
            </w:pPr>
            <w:r>
              <w:t xml:space="preserve">56</w:t>
            </w:r>
          </w:p>
        </w:tc>
      </w:tr>
      <w:tr>
        <w:tc>
          <w:tcPr/>
          <w:p>
            <w:pPr>
              <w:pStyle w:val="Compact"/>
            </w:pPr>
            <w:r>
              <w:t xml:space="preserve">Zambia</w:t>
            </w:r>
          </w:p>
        </w:tc>
        <w:tc>
          <w:tcPr/>
          <w:p>
            <w:pPr>
              <w:pStyle w:val="Compact"/>
              <w:jc w:val="right"/>
            </w:pPr>
            <w:r>
              <w:t xml:space="preserve">21</w:t>
            </w:r>
          </w:p>
        </w:tc>
        <w:tc>
          <w:tcPr/>
          <w:p>
            <w:pPr>
              <w:pStyle w:val="Compact"/>
              <w:jc w:val="right"/>
            </w:pPr>
            <w:r>
              <w:t xml:space="preserve">7</w:t>
            </w:r>
          </w:p>
        </w:tc>
        <w:tc>
          <w:tcPr/>
          <w:p>
            <w:pPr>
              <w:pStyle w:val="Compact"/>
              <w:jc w:val="right"/>
            </w:pPr>
            <w:r>
              <w:t xml:space="preserve">5</w:t>
            </w:r>
          </w:p>
        </w:tc>
        <w:tc>
          <w:tcPr/>
          <w:p>
            <w:pPr>
              <w:pStyle w:val="Compact"/>
              <w:jc w:val="right"/>
            </w:pPr>
            <w:r>
              <w:t xml:space="preserve">12</w:t>
            </w:r>
          </w:p>
        </w:tc>
        <w:tc>
          <w:tcPr/>
          <w:p>
            <w:pPr>
              <w:pStyle w:val="Compact"/>
              <w:jc w:val="right"/>
            </w:pPr>
            <w:r>
              <w:t xml:space="preserve">21</w:t>
            </w:r>
          </w:p>
        </w:tc>
        <w:tc>
          <w:tcPr/>
          <w:p>
            <w:pPr>
              <w:pStyle w:val="Compact"/>
              <w:jc w:val="right"/>
            </w:pPr>
            <w:r>
              <w:t xml:space="preserve">15</w:t>
            </w:r>
          </w:p>
        </w:tc>
        <w:tc>
          <w:tcPr/>
          <w:p>
            <w:pPr>
              <w:pStyle w:val="Compact"/>
              <w:jc w:val="right"/>
            </w:pPr>
            <w:r>
              <w:t xml:space="preserve">1</w:t>
            </w:r>
          </w:p>
        </w:tc>
        <w:tc>
          <w:tcPr/>
          <w:p>
            <w:pPr>
              <w:pStyle w:val="Compact"/>
              <w:jc w:val="right"/>
            </w:pPr>
            <w:r>
              <w:t xml:space="preserve">47</w:t>
            </w:r>
          </w:p>
        </w:tc>
      </w:tr>
      <w:tr>
        <w:tc>
          <w:tcPr/>
          <w:p>
            <w:pPr>
              <w:pStyle w:val="Compact"/>
            </w:pPr>
            <w:r>
              <w:t xml:space="preserve">Tanzania</w:t>
            </w:r>
          </w:p>
        </w:tc>
        <w:tc>
          <w:tcPr/>
          <w:p>
            <w:pPr>
              <w:pStyle w:val="Compact"/>
              <w:jc w:val="right"/>
            </w:pPr>
            <w:r>
              <w:t xml:space="preserve">10</w:t>
            </w:r>
          </w:p>
        </w:tc>
        <w:tc>
          <w:tcPr/>
          <w:p>
            <w:pPr>
              <w:pStyle w:val="Compact"/>
              <w:jc w:val="right"/>
            </w:pPr>
            <w:r>
              <w:t xml:space="preserve">17</w:t>
            </w:r>
          </w:p>
        </w:tc>
        <w:tc>
          <w:tcPr/>
          <w:p>
            <w:pPr>
              <w:pStyle w:val="Compact"/>
              <w:jc w:val="right"/>
            </w:pPr>
            <w:r>
              <w:t xml:space="preserve">24</w:t>
            </w:r>
          </w:p>
        </w:tc>
        <w:tc>
          <w:tcPr/>
          <w:p>
            <w:pPr>
              <w:pStyle w:val="Compact"/>
              <w:jc w:val="right"/>
            </w:pPr>
            <w:r>
              <w:t xml:space="preserve">10</w:t>
            </w:r>
          </w:p>
        </w:tc>
        <w:tc>
          <w:tcPr/>
          <w:p>
            <w:pPr>
              <w:pStyle w:val="Compact"/>
              <w:jc w:val="right"/>
            </w:pPr>
            <w:r>
              <w:t xml:space="preserve">41</w:t>
            </w:r>
          </w:p>
        </w:tc>
        <w:tc>
          <w:tcPr/>
          <w:p>
            <w:pPr>
              <w:pStyle w:val="Compact"/>
              <w:jc w:val="right"/>
            </w:pPr>
            <w:r>
              <w:t xml:space="preserve">19</w:t>
            </w:r>
          </w:p>
        </w:tc>
        <w:tc>
          <w:tcPr/>
          <w:p>
            <w:pPr>
              <w:pStyle w:val="Compact"/>
              <w:jc w:val="right"/>
            </w:pPr>
            <w:r>
              <w:t xml:space="preserve">1</w:t>
            </w:r>
          </w:p>
        </w:tc>
        <w:tc>
          <w:tcPr/>
          <w:p>
            <w:pPr>
              <w:pStyle w:val="Compact"/>
              <w:jc w:val="right"/>
            </w:pPr>
            <w:r>
              <w:t xml:space="preserve">33</w:t>
            </w:r>
          </w:p>
        </w:tc>
      </w:tr>
      <w:tr>
        <w:tc>
          <w:tcPr/>
          <w:p>
            <w:pPr>
              <w:pStyle w:val="Compact"/>
            </w:pPr>
            <w:r>
              <w:t xml:space="preserve">Zimbabwe</w:t>
            </w:r>
          </w:p>
        </w:tc>
        <w:tc>
          <w:tcPr/>
          <w:p>
            <w:pPr>
              <w:pStyle w:val="Compact"/>
              <w:jc w:val="right"/>
            </w:pPr>
            <w:r>
              <w:t xml:space="preserve">9</w:t>
            </w:r>
          </w:p>
        </w:tc>
        <w:tc>
          <w:tcPr/>
          <w:p>
            <w:pPr>
              <w:pStyle w:val="Compact"/>
              <w:jc w:val="right"/>
            </w:pPr>
            <w:r>
              <w:t xml:space="preserve">7</w:t>
            </w:r>
          </w:p>
        </w:tc>
        <w:tc>
          <w:tcPr/>
          <w:p>
            <w:pPr>
              <w:pStyle w:val="Compact"/>
              <w:jc w:val="right"/>
            </w:pPr>
            <w:r>
              <w:t xml:space="preserve">12</w:t>
            </w:r>
          </w:p>
        </w:tc>
        <w:tc>
          <w:tcPr/>
          <w:p>
            <w:pPr>
              <w:pStyle w:val="Compact"/>
              <w:jc w:val="right"/>
            </w:pPr>
            <w:r>
              <w:t xml:space="preserve">5</w:t>
            </w:r>
          </w:p>
        </w:tc>
        <w:tc>
          <w:tcPr/>
          <w:p>
            <w:pPr>
              <w:pStyle w:val="Compact"/>
              <w:jc w:val="right"/>
            </w:pPr>
            <w:r>
              <w:t xml:space="preserve">23</w:t>
            </w:r>
          </w:p>
        </w:tc>
        <w:tc>
          <w:tcPr/>
          <w:p>
            <w:pPr>
              <w:pStyle w:val="Compact"/>
              <w:jc w:val="right"/>
            </w:pPr>
            <w:r>
              <w:t xml:space="preserve">10</w:t>
            </w:r>
          </w:p>
        </w:tc>
        <w:tc>
          <w:tcPr/>
          <w:p>
            <w:pPr>
              <w:pStyle w:val="Compact"/>
              <w:jc w:val="right"/>
            </w:pPr>
            <w:r>
              <w:t xml:space="preserve">1</w:t>
            </w:r>
          </w:p>
        </w:tc>
        <w:tc>
          <w:tcPr/>
          <w:p>
            <w:pPr>
              <w:pStyle w:val="Compact"/>
              <w:jc w:val="right"/>
            </w:pPr>
            <w:r>
              <w:t xml:space="preserve">18</w:t>
            </w:r>
          </w:p>
        </w:tc>
      </w:tr>
    </w:tbl>
    <w:p>
      <w:pPr>
        <w:pStyle w:val="BodyText"/>
      </w:pPr>
      <w:r>
        <w:t xml:space="preserve">166 countries appear in the corpus in total. The rest fall below the threshold above, in most cases because their evidence base is confined to one or two of the three interventions.</w:t>
      </w:r>
    </w:p>
    <w:p>
      <w:pPr>
        <w:pStyle w:val="BodyText"/>
      </w:pPr>
      <w:r>
        <w:rPr>
          <w:b/>
          <w:bCs/>
        </w:rPr>
        <w:t xml:space="preserve">Not captured here, and decisive for an actual decision:</w:t>
      </w:r>
      <w:r>
        <w:t xml:space="preserve"> </w:t>
      </w:r>
      <w:r>
        <w:t xml:space="preserve">fragility and security; partner operational footprint; government appetite and policy windows; donor and financing landscape; cost.</w:t>
      </w:r>
    </w:p>
    <w:bookmarkEnd w:id="103"/>
    <w:bookmarkStart w:id="104" w:name="appendix-e-reproducing-this-analysis"/>
    <w:p>
      <w:pPr>
        <w:pStyle w:val="Heading2"/>
      </w:pPr>
      <w:r>
        <w:t xml:space="preserve">Appendix E — Reproducing this analysis</w:t>
      </w:r>
    </w:p>
    <w:p>
      <w:pPr>
        <w:pStyle w:val="FirstParagraph"/>
      </w:pPr>
      <w:r>
        <w:t xml:space="preserve">All numbers in this report regenerate from the evidence database.</w:t>
      </w:r>
    </w:p>
    <w:p>
      <w:pPr>
        <w:pStyle w:val="SourceCode"/>
      </w:pPr>
      <w:r>
        <w:rPr>
          <w:rStyle w:val="CommentTok"/>
        </w:rPr>
        <w:t xml:space="preserve"># Retrieval and corpus assembly</w:t>
      </w:r>
      <w:r>
        <w:br/>
      </w:r>
      <w:r>
        <w:rPr>
          <w:rStyle w:val="ExtensionTok"/>
        </w:rPr>
        <w:t xml:space="preserve">python3</w:t>
      </w:r>
      <w:r>
        <w:rPr>
          <w:rStyle w:val="NormalTok"/>
        </w:rPr>
        <w:t xml:space="preserve"> CARE_review/code/run_retrieval.py</w:t>
      </w:r>
      <w:r>
        <w:br/>
      </w:r>
      <w:r>
        <w:rPr>
          <w:rStyle w:val="ExtensionTok"/>
        </w:rPr>
        <w:t xml:space="preserve">python3</w:t>
      </w:r>
      <w:r>
        <w:rPr>
          <w:rStyle w:val="NormalTok"/>
        </w:rPr>
        <w:t xml:space="preserve"> CARE_review/code/run_pipeline.py corpus</w:t>
      </w:r>
      <w:r>
        <w:br/>
      </w:r>
      <w:r>
        <w:rPr>
          <w:rStyle w:val="ExtensionTok"/>
        </w:rPr>
        <w:t xml:space="preserve">python3</w:t>
      </w:r>
      <w:r>
        <w:rPr>
          <w:rStyle w:val="NormalTok"/>
        </w:rPr>
        <w:t xml:space="preserve"> CARE_review/code/run_pipeline.py fulltext</w:t>
      </w:r>
      <w:r>
        <w:br/>
      </w:r>
      <w:r>
        <w:rPr>
          <w:rStyle w:val="ExtensionTok"/>
        </w:rPr>
        <w:t xml:space="preserve">python3</w:t>
      </w:r>
      <w:r>
        <w:rPr>
          <w:rStyle w:val="NormalTok"/>
        </w:rPr>
        <w:t xml:space="preserve"> CARE_review/code/run_pipeline.py cards</w:t>
      </w:r>
      <w:r>
        <w:br/>
      </w:r>
      <w:r>
        <w:rPr>
          <w:rStyle w:val="CommentTok"/>
        </w:rPr>
        <w:t xml:space="preserve">#   -&gt; extraction workflow (one agent per batch, idempotent and resumable)</w:t>
      </w:r>
      <w:r>
        <w:br/>
      </w:r>
      <w:r>
        <w:rPr>
          <w:rStyle w:val="ExtensionTok"/>
        </w:rPr>
        <w:t xml:space="preserve">python3</w:t>
      </w:r>
      <w:r>
        <w:rPr>
          <w:rStyle w:val="NormalTok"/>
        </w:rPr>
        <w:t xml:space="preserve"> CARE_review/code/run_pipeline.py merge      </w:t>
      </w:r>
      <w:r>
        <w:rPr>
          <w:rStyle w:val="CommentTok"/>
        </w:rPr>
        <w:t xml:space="preserve"># -&gt; data/evidence_db.json</w:t>
      </w:r>
      <w:r>
        <w:br/>
      </w:r>
      <w:r>
        <w:br/>
      </w:r>
      <w:r>
        <w:rPr>
          <w:rStyle w:val="CommentTok"/>
        </w:rPr>
        <w:t xml:space="preserve"># Country analysis (§4 and Appendix C)</w:t>
      </w:r>
      <w:r>
        <w:br/>
      </w:r>
      <w:r>
        <w:rPr>
          <w:rStyle w:val="ExtensionTok"/>
        </w:rPr>
        <w:t xml:space="preserve">python3</w:t>
      </w:r>
      <w:r>
        <w:rPr>
          <w:rStyle w:val="NormalTok"/>
        </w:rPr>
        <w:t xml:space="preserve"> CARE_review/code/country_analysis.py        </w:t>
      </w:r>
      <w:r>
        <w:rPr>
          <w:rStyle w:val="CommentTok"/>
        </w:rPr>
        <w:t xml:space="preserve"># -&gt; data/country_analysis.json</w:t>
      </w:r>
      <w:r>
        <w:br/>
      </w:r>
      <w:r>
        <w:br/>
      </w:r>
      <w:r>
        <w:rPr>
          <w:rStyle w:val="CommentTok"/>
        </w:rPr>
        <w:t xml:space="preserve"># Verification</w:t>
      </w:r>
      <w:r>
        <w:br/>
      </w:r>
      <w:r>
        <w:rPr>
          <w:rStyle w:val="ExtensionTok"/>
        </w:rPr>
        <w:t xml:space="preserve">python3</w:t>
      </w:r>
      <w:r>
        <w:rPr>
          <w:rStyle w:val="NormalTok"/>
        </w:rPr>
        <w:t xml:space="preserve"> code/17_verify_synthesis.py CARE_review/CARE_DEEPDIVE_REPORT.md </w:t>
      </w:r>
      <w:r>
        <w:rPr>
          <w:rStyle w:val="DataTypeTok"/>
        </w:rPr>
        <w:t xml:space="preserve">\</w:t>
      </w:r>
      <w:r>
        <w:br/>
      </w:r>
      <w:r>
        <w:rPr>
          <w:rStyle w:val="NormalTok"/>
        </w:rPr>
        <w:t xml:space="preserve">        CARE_review/data/deepdive_corpus.json CARE_review/data/evidence_db.json</w:t>
      </w:r>
      <w:r>
        <w:br/>
      </w:r>
      <w:r>
        <w:br/>
      </w:r>
      <w:r>
        <w:rPr>
          <w:rStyle w:val="CommentTok"/>
        </w:rPr>
        <w:t xml:space="preserve"># Render to .docx</w:t>
      </w:r>
      <w:r>
        <w:br/>
      </w:r>
      <w:r>
        <w:rPr>
          <w:rStyle w:val="FunctionTok"/>
        </w:rPr>
        <w:t xml:space="preserve">bash</w:t>
      </w:r>
      <w:r>
        <w:rPr>
          <w:rStyle w:val="NormalTok"/>
        </w:rPr>
        <w:t xml:space="preserve"> CARE_review/code/render_report.sh</w:t>
      </w:r>
    </w:p>
    <w:p>
      <w:pPr>
        <w:pStyle w:val="FirstParagraph"/>
      </w:pPr>
      <w:r>
        <w:t xml:space="preserve">Supporting documentation:</w:t>
      </w:r>
      <w:r>
        <w:t xml:space="preserve"> </w:t>
      </w:r>
      <w:r>
        <w:rPr>
          <w:rStyle w:val="VerbatimChar"/>
        </w:rPr>
        <w:t xml:space="preserve">docs/PICOS_specification.md</w:t>
      </w:r>
      <w:r>
        <w:t xml:space="preserve"> </w:t>
      </w:r>
      <w:r>
        <w:t xml:space="preserve">(the review specification),</w:t>
      </w:r>
      <w:r>
        <w:t xml:space="preserve"> </w:t>
      </w:r>
      <w:r>
        <w:rPr>
          <w:rStyle w:val="VerbatimChar"/>
        </w:rPr>
        <w:t xml:space="preserve">docs/PROCESS_deepdive.md</w:t>
      </w:r>
      <w:r>
        <w:t xml:space="preserve"> </w:t>
      </w:r>
      <w:r>
        <w:t xml:space="preserve">(end-to-end method),</w:t>
      </w:r>
      <w:r>
        <w:t xml:space="preserve"> </w:t>
      </w:r>
      <w:r>
        <w:rPr>
          <w:rStyle w:val="VerbatimChar"/>
        </w:rPr>
        <w:t xml:space="preserve">prompts/deepdive_extraction_prompt.md</w:t>
      </w:r>
      <w:r>
        <w:t xml:space="preserve"> </w:t>
      </w:r>
      <w:r>
        <w:t xml:space="preserve">and</w:t>
      </w:r>
      <w:r>
        <w:t xml:space="preserve"> </w:t>
      </w:r>
      <w:r>
        <w:rPr>
          <w:rStyle w:val="VerbatimChar"/>
        </w:rPr>
        <w:t xml:space="preserve">prompts/deepdive_synthesis_prompt.md</w:t>
      </w:r>
      <w:r>
        <w:t xml:space="preserve"> </w:t>
      </w:r>
      <w:r>
        <w:t xml:space="preserve">(the extraction schema and synthesis grounding rules, which define the method as much as the code does).</w:t>
      </w:r>
    </w:p>
    <w:bookmarkEnd w:id="104"/>
    <w:bookmarkStart w:id="105" w:name="appendix-f-citation-conventions"/>
    <w:p>
      <w:pPr>
        <w:pStyle w:val="Heading2"/>
      </w:pPr>
      <w:r>
        <w:t xml:space="preserve">Appendix F — Citation conventions</w:t>
      </w:r>
    </w:p>
    <w:p>
      <w:pPr>
        <w:pStyle w:val="FirstParagraph"/>
      </w:pPr>
      <w:r>
        <w:t xml:space="preserve">Sources are cited inline by persistent identifier —</w:t>
      </w:r>
      <w:r>
        <w:t xml:space="preserve"> </w:t>
      </w:r>
      <w:r>
        <w:rPr>
          <w:b/>
          <w:bCs/>
        </w:rPr>
        <w:t xml:space="preserve">PMID</w:t>
      </w:r>
      <w:r>
        <w:t xml:space="preserve"> </w:t>
      </w:r>
      <w:r>
        <w:t xml:space="preserve">for PubMed-indexed records and</w:t>
      </w:r>
      <w:r>
        <w:t xml:space="preserve"> </w:t>
      </w:r>
      <w:r>
        <w:rPr>
          <w:b/>
          <w:bCs/>
        </w:rPr>
        <w:t xml:space="preserve">DOI</w:t>
      </w:r>
      <w:r>
        <w:t xml:space="preserve"> </w:t>
      </w:r>
      <w:r>
        <w:t xml:space="preserve">otherwise — rather than by author and year. This is deliberate: the identifier is what the verifier resolves against the evidence database, so the citation in the text and the record that supports it are the same object. Every identifier in this report corresponds to a record in</w:t>
      </w:r>
      <w:r>
        <w:t xml:space="preserve"> </w:t>
      </w:r>
      <w:r>
        <w:rPr>
          <w:rStyle w:val="VerbatimChar"/>
        </w:rPr>
        <w:t xml:space="preserve">data/evidence_db.json</w:t>
      </w:r>
      <w:r>
        <w:t xml:space="preserve">.</w:t>
      </w:r>
    </w:p>
    <w:bookmarkEnd w:id="105"/>
    <w:bookmarkEnd w:id="1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before="0" w:line="276" w:lineRule="auto"/>
    </w:pPr>
    <w:rPr>
      <w:rFonts w:ascii="Cambria" w:cs="Cambria" w:eastAsia="Cambria" w:hAnsi="Cambria"/>
      <w:color w:val="1A1A1A"/>
      <w:sz w:val="21"/>
      <w:szCs w:val="21"/>
    </w:rPr>
  </w:style>
  <w:style w:styleId="BodyText" w:type="paragraph">
    <w:name w:val="Body Text"/>
    <w:basedOn w:val="Normal"/>
    <w:link w:val="BodyTextChar"/>
    <w:qFormat/>
    <w:pPr>
      <w:spacing w:after="140" w:before="0" w:line="276" w:lineRule="auto"/>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120" w:before="0"/>
      <w:pBdr>
        <w:bottom w:color="12495B" w:space="6" w:sz="12" w:val="single"/>
      </w:pBdr>
    </w:pPr>
    <w:rPr>
      <w:rFonts w:ascii="Calibri" w:cs="Calibri" w:eastAsia="Calibri" w:hAnsi="Calibri"/>
      <w:b/>
      <w:color w:val="12495B"/>
      <w:sz w:val="52"/>
      <w:szCs w:val="52"/>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spacing w:after="240" w:before="0"/>
    </w:pPr>
    <w:rPr>
      <w:rFonts w:ascii="Calibri" w:cs="Calibri" w:eastAsia="Calibri" w:hAnsi="Calibri"/>
      <w:color w:val="1F6B7B"/>
      <w:sz w:val="26"/>
      <w:szCs w:val="2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420"/>
      <w:outlineLvl w:val="0"/>
    </w:pPr>
    <w:rPr>
      <w:rFonts w:ascii="Calibri" w:cs="Calibri" w:eastAsia="Calibri" w:hAnsi="Calibri"/>
      <w:b/>
      <w:color w:val="12495B"/>
      <w:sz w:val="34"/>
      <w:szCs w:val="34"/>
    </w:rPr>
  </w:style>
  <w:style w:styleId="Heading2" w:type="paragraph">
    <w:name w:val="heading 2"/>
    <w:basedOn w:val="Normal"/>
    <w:next w:val="BodyText"/>
    <w:link w:val="Heading2Char"/>
    <w:uiPriority w:val="9"/>
    <w:semiHidden/>
    <w:unhideWhenUsed/>
    <w:qFormat/>
    <w:rsid w:val="00A10FD9"/>
    <w:pPr>
      <w:keepNext/>
      <w:keepLines/>
      <w:spacing w:after="120" w:before="320"/>
      <w:outlineLvl w:val="1"/>
    </w:pPr>
    <w:rPr>
      <w:rFonts w:ascii="Calibri" w:cs="Calibri" w:eastAsia="Calibri" w:hAnsi="Calibri"/>
      <w:b/>
      <w:color w:val="1F6B7B"/>
      <w:sz w:val="27"/>
      <w:szCs w:val="27"/>
    </w:rPr>
  </w:style>
  <w:style w:styleId="Heading3" w:type="paragraph">
    <w:name w:val="heading 3"/>
    <w:basedOn w:val="Normal"/>
    <w:next w:val="BodyText"/>
    <w:link w:val="Heading3Char"/>
    <w:uiPriority w:val="9"/>
    <w:semiHidden/>
    <w:unhideWhenUsed/>
    <w:qFormat/>
    <w:rsid w:val="00A10FD9"/>
    <w:pPr>
      <w:keepNext/>
      <w:keepLines/>
      <w:spacing w:after="100" w:before="260"/>
      <w:outlineLvl w:val="2"/>
    </w:pPr>
    <w:rPr>
      <w:rFonts w:ascii="Calibri" w:cs="Calibri" w:eastAsia="Calibri" w:hAnsi="Calibri"/>
      <w:b/>
      <w:color w:val="3D4A52"/>
      <w:sz w:val="23"/>
      <w:szCs w:val="23"/>
    </w:rPr>
  </w:style>
  <w:style w:styleId="Heading4" w:type="paragraph">
    <w:name w:val="heading 4"/>
    <w:basedOn w:val="Normal"/>
    <w:next w:val="BodyText"/>
    <w:link w:val="Heading4Char"/>
    <w:uiPriority w:val="9"/>
    <w:semiHidden/>
    <w:unhideWhenUsed/>
    <w:qFormat/>
    <w:rsid w:val="00A10FD9"/>
    <w:pPr>
      <w:keepNext/>
      <w:keepLines/>
      <w:spacing w:after="90" w:before="220"/>
      <w:outlineLvl w:val="3"/>
    </w:pPr>
    <w:rPr>
      <w:rFonts w:ascii="Calibri" w:cs="Calibri" w:eastAsia="Calibri" w:hAnsi="Calibri"/>
      <w:b/>
      <w:color w:val="3D4A52"/>
      <w:sz w:val="21"/>
      <w:szCs w:val="2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pBdr>
        <w:top w:color="C9D6DB" w:space="8" w:sz="4" w:val="single"/>
        <w:left w:color="1F6B7B" w:space="10" w:sz="18" w:val="single"/>
        <w:bottom w:color="C9D6DB" w:space="8" w:sz="4" w:val="single"/>
        <w:right w:color="C9D6DB" w:space="8" w:sz="4" w:val="single"/>
      </w:pBdr>
      <w:shd w:color="auto" w:fill="F2F7F9" w:val="clear"/>
      <w:spacing w:after="160" w:before="160" w:line="264" w:lineRule="auto"/>
      <w:ind w:left="0" w:right="0"/>
    </w:pPr>
    <w:rPr>
      <w:rFonts w:ascii="Cambria" w:cs="Cambria" w:eastAsia="Cambria" w:hAnsi="Cambria"/>
      <w:color w:val="1A1A1A"/>
      <w:sz w:val="20"/>
      <w:szCs w:val="20"/>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Table" w:type="table">
    <w:name w:val="Table"/>
    <w:uiPriority w:val="99"/>
    <w:pPr>
      <w:spacing w:after="40" w:before="40" w:line="240" w:lineRule="auto"/>
    </w:pPr>
    <w:rPr>
      <w:rFonts w:ascii="Cambria" w:cs="Cambria" w:eastAsia="Cambria" w:hAnsi="Cambria"/>
      <w:sz w:val="19"/>
      <w:szCs w:val="19"/>
    </w:rPr>
    <w:tblPr>
      <w:tblBorders>
        <w:top w:color="C9D6DB" w:space="0" w:sz="4" w:val="single"/>
        <w:left w:color="C9D6DB" w:space="0" w:sz="4" w:val="single"/>
        <w:bottom w:color="C9D6DB" w:space="0" w:sz="4" w:val="single"/>
        <w:right w:color="C9D6DB" w:space="0" w:sz="4" w:val="single"/>
        <w:insideH w:color="C9D6DB" w:space="0" w:sz="4" w:val="single"/>
        <w:insideV w:color="C9D6DB" w:space="0" w:sz="4" w:val="single"/>
      </w:tblBorders>
      <w:tblCellMar>
        <w:top w:type="dxa" w:w="60"/>
        <w:left w:type="dxa" w:w="100"/>
        <w:bottom w:type="dxa" w:w="60"/>
        <w:right w:type="dxa" w:w="100"/>
      </w:tblCellMar>
    </w:tblPr>
    <w:tblStylePr w:type="firstRow">
      <w:rPr>
        <w:b/>
        <w:color w:val="12495B"/>
      </w:rPr>
      <w:tcPr>
        <w:shd w:color="auto" w:fill="E4EDF1"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Scaling High-Impact Nutrition Interventions</dc:title>
  <dc:creator/>
  <cp:keywords/>
  <dcterms:created xsi:type="dcterms:W3CDTF">2026-08-05T20:03:19Z</dcterms:created>
  <dcterms:modified xsi:type="dcterms:W3CDTF">2026-08-05T20:03:19Z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subtitle">
    <vt:lpwstr>A PICOS-structured evidence and implementation review for CARE and IA partners — CMAM, Breastfeeding Support, and Antenatal MMS</vt:lpwstr>
  </property>
</Properties>
</file>