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Scaling High-Impact Nutrition Interventions — Summary</w:t>
      </w:r>
    </w:p>
    <w:p>
      <w:pPr>
        <w:pStyle w:val="Subtitle"/>
      </w:pPr>
      <w:r>
        <w:t xml:space="preserve">CMAM, Breastfeeding Support and Antenatal MMS: Evidence Review</w:t>
      </w:r>
    </w:p>
    <w:p>
      <w:pPr>
        <w:pStyle w:val="Date"/>
      </w:pPr>
      <w:r>
        <w:t xml:space="preserve">August 2026</w:t>
      </w:r>
    </w:p>
    <w:bookmarkStart w:id="19" w:name="summary"/>
    <w:p>
      <w:pPr>
        <w:pStyle w:val="Heading1"/>
      </w:pPr>
      <w:r>
        <w:t xml:space="preserve">Summary</w:t>
      </w:r>
    </w:p>
    <w:p>
      <w:pPr>
        <w:pStyle w:val="FirstParagraph"/>
      </w:pPr>
      <w:r>
        <w:rPr>
          <w:b/>
          <w:bCs/>
        </w:rPr>
        <w:t xml:space="preserve">What was asked.</w:t>
      </w:r>
      <w:r>
        <w:t xml:space="preserve"> </w:t>
      </w:r>
      <w:r>
        <w:t xml:space="preserve">CARE and IA partners — Save the Children and Mercy Corps — narrowed an initial 15-intervention synthesis to three for a deeper review:</w:t>
      </w:r>
      <w:r>
        <w:t xml:space="preserve"> </w:t>
      </w:r>
      <w:r>
        <w:rPr>
          <w:b/>
          <w:bCs/>
        </w:rPr>
        <w:t xml:space="preserve">community-based management of acute malnutrition (CMAM)</w:t>
      </w:r>
      <w:r>
        <w:t xml:space="preserve">,</w:t>
      </w:r>
      <w:r>
        <w:t xml:space="preserve"> </w:t>
      </w:r>
      <w:r>
        <w:rPr>
          <w:b/>
          <w:bCs/>
        </w:rPr>
        <w:t xml:space="preserve">breastfeeding promotion and support</w:t>
      </w:r>
      <w:r>
        <w:t xml:space="preserve">, and</w:t>
      </w:r>
      <w:r>
        <w:t xml:space="preserve"> </w:t>
      </w:r>
      <w:r>
        <w:rPr>
          <w:b/>
          <w:bCs/>
        </w:rPr>
        <w:t xml:space="preserve">antenatal multiple micronutrient supplementation (MMS)</w:t>
      </w:r>
      <w:r>
        <w:t xml:space="preserve">.</w:t>
      </w:r>
    </w:p>
    <w:p>
      <w:pPr>
        <w:pStyle w:val="BodyText"/>
      </w:pPr>
      <w:r>
        <w:rPr>
          <w:b/>
          <w:bCs/>
        </w:rPr>
        <w:t xml:space="preserve">Cost is out of scope</w:t>
      </w:r>
      <w:r>
        <w:t xml:space="preserve">, deliberately and throughout — excluded from searches, extraction and synthesis. It is the subject of a separate phase.</w:t>
      </w:r>
    </w:p>
    <w:p>
      <w:pPr>
        <w:pStyle w:val="BodyText"/>
      </w:pPr>
      <w:r>
        <w:rPr>
          <w:b/>
          <w:bCs/>
        </w:rPr>
        <w:t xml:space="preserve">A note on sources.</w:t>
      </w:r>
      <w:r>
        <w:t xml:space="preserve"> </w:t>
      </w:r>
      <w:r>
        <w:t xml:space="preserve">Most citations here come from the retrieved corpus. Citations marked</w:t>
      </w:r>
      <w:r>
        <w:t xml:space="preserve"> </w:t>
      </w:r>
      <w:r>
        <w:rPr>
          <w:b/>
          <w:bCs/>
        </w:rPr>
        <w:t xml:space="preserve">†</w:t>
      </w:r>
      <w:r>
        <w:t xml:space="preserve"> </w:t>
      </w:r>
      <w:r>
        <w:t xml:space="preserve">were added at expert review from outside it — chiefly WHO guidelines and landmark trials that a PubMed/OpenAlex search of the intervention literature does not reach. They are listed in §7.</w:t>
      </w:r>
    </w:p>
    <w:p>
      <w:r>
        <w:pict>
          <v:rect style="width:0;height:1.5pt" o:hralign="center" o:hrstd="t" o:hr="t"/>
        </w:pict>
      </w:r>
    </w:p>
    <w:bookmarkStart w:id="11" w:name="what-we-found"/>
    <w:p>
      <w:pPr>
        <w:pStyle w:val="Heading2"/>
      </w:pPr>
      <w:r>
        <w:t xml:space="preserve">1. What we found</w:t>
      </w:r>
    </w:p>
    <w:p>
      <w:pPr>
        <w:pStyle w:val="FirstParagraph"/>
      </w:pPr>
      <w:r>
        <w:rPr>
          <w:b/>
          <w:bCs/>
        </w:rPr>
        <w:t xml:space="preserve">All three interventions work. None fails on evidence.</w:t>
      </w:r>
      <w:r>
        <w:t xml:space="preserve"> </w:t>
      </w:r>
      <w:r>
        <w:t xml:space="preserve">They differ in how firmly that is established, and in</w:t>
      </w:r>
      <w:r>
        <w:t xml:space="preserve"> </w:t>
      </w:r>
      <w:r>
        <w:rPr>
          <w:i/>
          <w:iCs/>
        </w:rPr>
        <w:t xml:space="preserve">what</w:t>
      </w:r>
      <w:r>
        <w:t xml:space="preserve"> </w:t>
      </w:r>
      <w:r>
        <w:t xml:space="preserve">is established. This report does not grade them against one another: they are measured on different outcomes, against different comparators, in literatures at different stages, and a common scale would imply a comparability the evidence does not support.</w:t>
      </w:r>
    </w:p>
    <w:p>
      <w:pPr>
        <w:pStyle w:val="BodyText"/>
      </w:pPr>
      <w:r>
        <w:rPr>
          <w:b/>
          <w:bCs/>
        </w:rPr>
        <w:t xml:space="preserve">In every case, the gap between trial performance and programme performance is larger than the gap between the intervention and its comparator.</w:t>
      </w:r>
      <w:r>
        <w:t xml:space="preserve"> </w:t>
      </w:r>
      <w:r>
        <w:t xml:space="preserve">That is the operationalization gap, quantified:</w:t>
      </w:r>
    </w:p>
    <w:p>
      <w:pPr>
        <w:pStyle w:val="Compact"/>
        <w:numPr>
          <w:ilvl w:val="0"/>
          <w:numId w:val="1001"/>
        </w:numPr>
      </w:pPr>
      <w:r>
        <w:rPr>
          <w:b/>
          <w:bCs/>
        </w:rPr>
        <w:t xml:space="preserve">Malnutrition treatment</w:t>
      </w:r>
      <w:r>
        <w:t xml:space="preserve"> </w:t>
      </w:r>
      <w:r>
        <w:t xml:space="preserve">reached</w:t>
      </w:r>
      <w:r>
        <w:t xml:space="preserve"> </w:t>
      </w:r>
      <w:r>
        <w:rPr>
          <w:b/>
          <w:bCs/>
        </w:rPr>
        <w:t xml:space="preserve">38.3%</w:t>
      </w:r>
      <w:r>
        <w:t xml:space="preserve"> </w:t>
      </w:r>
      <w:r>
        <w:t xml:space="preserve">of severe acute malnutrition cases across 44 assessments in 21 countries — but these are</w:t>
      </w:r>
      <w:r>
        <w:t xml:space="preserve"> </w:t>
      </w:r>
      <w:r>
        <w:rPr>
          <w:b/>
          <w:bCs/>
        </w:rPr>
        <w:t xml:space="preserve">2012–13 data</w:t>
      </w:r>
      <w:r>
        <w:t xml:space="preserve">, and the authors flag a selection bias toward higher-performing programmes, so the true figure is lower (DOI 10.1371/journal.pone.0128666). No comparably broad peer-reviewed estimate has been published since; the current working position is that</w:t>
      </w:r>
      <w:r>
        <w:t xml:space="preserve"> </w:t>
      </w:r>
      <w:r>
        <w:rPr>
          <w:b/>
          <w:bCs/>
        </w:rPr>
        <w:t xml:space="preserve">roughly one in three</w:t>
      </w:r>
      <w:r>
        <w:t xml:space="preserve"> </w:t>
      </w:r>
      <w:r>
        <w:t xml:space="preserve">severely wasted children receives treatment, and less outside humanitarian settings (Global Action Plan on Child Wasting†). Treatment recovers about</w:t>
      </w:r>
      <w:r>
        <w:t xml:space="preserve"> </w:t>
      </w:r>
      <w:r>
        <w:rPr>
          <w:b/>
          <w:bCs/>
        </w:rPr>
        <w:t xml:space="preserve">71%</w:t>
      </w:r>
      <w:r>
        <w:t xml:space="preserve"> </w:t>
      </w:r>
      <w:r>
        <w:t xml:space="preserve">of children against a 75% humanitarian minimum — though that pooled figure is sub-Saharan Africa and predominantly</w:t>
      </w:r>
      <w:r>
        <w:t xml:space="preserve"> </w:t>
      </w:r>
      <w:r>
        <w:rPr>
          <w:i/>
          <w:iCs/>
        </w:rPr>
        <w:t xml:space="preserve">inpatient</w:t>
      </w:r>
      <w:r>
        <w:t xml:space="preserve"> </w:t>
      </w:r>
      <w:r>
        <w:t xml:space="preserve">care, with outpatient performance essentially identical (PMID 32187182).</w:t>
      </w:r>
    </w:p>
    <w:p>
      <w:pPr>
        <w:pStyle w:val="Compact"/>
        <w:numPr>
          <w:ilvl w:val="0"/>
          <w:numId w:val="1001"/>
        </w:numPr>
      </w:pPr>
      <w:r>
        <w:rPr>
          <w:b/>
          <w:bCs/>
        </w:rPr>
        <w:t xml:space="preserve">Antenatal supplements</w:t>
      </w:r>
      <w:r>
        <w:t xml:space="preserve">: where adherence has been pooled, in Ethiopia,</w:t>
      </w:r>
      <w:r>
        <w:t xml:space="preserve"> </w:t>
      </w:r>
      <w:r>
        <w:rPr>
          <w:b/>
          <w:bCs/>
        </w:rPr>
        <w:t xml:space="preserve">41–46%</w:t>
      </w:r>
      <w:r>
        <w:t xml:space="preserve"> </w:t>
      </w:r>
      <w:r>
        <w:t xml:space="preserve">of women took</w:t>
      </w:r>
      <w:r>
        <w:t xml:space="preserve"> </w:t>
      </w:r>
      <w:r>
        <w:rPr>
          <w:b/>
          <w:bCs/>
        </w:rPr>
        <w:t xml:space="preserve">iron-folic acid</w:t>
      </w:r>
      <w:r>
        <w:t xml:space="preserve"> </w:t>
      </w:r>
      <w:r>
        <w:t xml:space="preserve">as recommended — under two different definitions, so the range is not like-for-like (DOI 10.1186/s12884-020-2835-0, 10.1186/s12978-019-0848-9). One north Indian facility study reports 77%, so low adherence is a documented and context-dependent problem rather than a universal rate. No comparable pooled figure exists for MMS itself.</w:t>
      </w:r>
    </w:p>
    <w:p>
      <w:pPr>
        <w:pStyle w:val="Compact"/>
        <w:numPr>
          <w:ilvl w:val="0"/>
          <w:numId w:val="1001"/>
        </w:numPr>
      </w:pPr>
      <w:r>
        <w:rPr>
          <w:b/>
          <w:bCs/>
        </w:rPr>
        <w:t xml:space="preserve">Breastfeeding</w:t>
      </w:r>
      <w:r>
        <w:t xml:space="preserve"> </w:t>
      </w:r>
      <w:r>
        <w:t xml:space="preserve">coverage falls short of global targets almost everywhere measured. In West Africa, exclusive breastfeeding is</w:t>
      </w:r>
      <w:r>
        <w:t xml:space="preserve"> </w:t>
      </w:r>
      <w:r>
        <w:rPr>
          <w:b/>
          <w:bCs/>
        </w:rPr>
        <w:t xml:space="preserve">41.2%</w:t>
      </w:r>
      <w:r>
        <w:t xml:space="preserve"> </w:t>
      </w:r>
      <w:r>
        <w:t xml:space="preserve">in Anglophone and</w:t>
      </w:r>
      <w:r>
        <w:t xml:space="preserve"> </w:t>
      </w:r>
      <w:r>
        <w:rPr>
          <w:b/>
          <w:bCs/>
        </w:rPr>
        <w:t xml:space="preserve">30.1%</w:t>
      </w:r>
      <w:r>
        <w:t xml:space="preserve"> </w:t>
      </w:r>
      <w:r>
        <w:t xml:space="preserve">in Francophone countries; early initiation</w:t>
      </w:r>
      <w:r>
        <w:t xml:space="preserve"> </w:t>
      </w:r>
      <w:r>
        <w:rPr>
          <w:b/>
          <w:bCs/>
        </w:rPr>
        <w:t xml:space="preserve">51.7%</w:t>
      </w:r>
      <w:r>
        <w:t xml:space="preserve"> </w:t>
      </w:r>
      <w:r>
        <w:t xml:space="preserve">and</w:t>
      </w:r>
      <w:r>
        <w:t xml:space="preserve"> </w:t>
      </w:r>
      <w:r>
        <w:rPr>
          <w:b/>
          <w:bCs/>
        </w:rPr>
        <w:t xml:space="preserve">45.5%</w:t>
      </w:r>
      <w:r>
        <w:t xml:space="preserve"> </w:t>
      </w:r>
      <w:r>
        <w:t xml:space="preserve">(PMID 39764605). The World Health Assembly target for exclusive breastfeeding is</w:t>
      </w:r>
      <w:r>
        <w:t xml:space="preserve"> </w:t>
      </w:r>
      <w:r>
        <w:rPr>
          <w:b/>
          <w:bCs/>
        </w:rPr>
        <w:t xml:space="preserve">60% by 2030</w:t>
      </w:r>
      <w:r>
        <w:t xml:space="preserve">, raised in 2025 from 50% by 2025; the separate early-initiation target is 70%†.</w:t>
      </w:r>
    </w:p>
    <w:bookmarkStart w:id="9" w:name="the-three-interventions"/>
    <w:p>
      <w:pPr>
        <w:pStyle w:val="Heading3"/>
      </w:pPr>
      <w:r>
        <w:t xml:space="preserve">The three interventions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What the evidence establishes</w:t>
            </w:r>
          </w:p>
        </w:tc>
        <w:tc>
          <w:tcPr/>
          <w:p>
            <w:pPr>
              <w:pStyle w:val="Compact"/>
            </w:pPr>
            <w:r>
              <w:t xml:space="preserve">What it does not show</w:t>
            </w:r>
          </w:p>
        </w:tc>
        <w:tc>
          <w:tcPr/>
          <w:p>
            <w:pPr>
              <w:pStyle w:val="Compact"/>
            </w:pPr>
            <w:r>
              <w:t xml:space="preserve">Binding constraint</w:t>
            </w:r>
          </w:p>
        </w:tc>
      </w:tr>
      <w:tr>
        <w:tc>
          <w:tcPr/>
          <w:p>
            <w:pPr>
              <w:pStyle w:val="Compact"/>
            </w:pPr>
            <w:r>
              <w:rPr>
                <w:b/>
                <w:bCs/>
              </w:rPr>
              <w:t xml:space="preserve">CMAM</w:t>
            </w:r>
          </w:p>
        </w:tc>
        <w:tc>
          <w:tcPr/>
          <w:p>
            <w:pPr>
              <w:pStyle w:val="Compact"/>
            </w:pPr>
            <w:r>
              <w:t xml:space="preserve">Home-based treatment of acute malnutrition works, and how to deliver it</w:t>
            </w:r>
          </w:p>
        </w:tc>
        <w:tc>
          <w:tcPr/>
          <w:p>
            <w:pPr>
              <w:pStyle w:val="Compact"/>
            </w:pPr>
            <w:r>
              <w:t xml:space="preserve">The size of the benefit against no treatment — never trialled, and now unethical to trial. Cohort data put severely wasted children at ~11× the mortality risk of non-wasted peers†</w:t>
            </w:r>
          </w:p>
        </w:tc>
        <w:tc>
          <w:tcPr/>
          <w:p>
            <w:pPr>
              <w:pStyle w:val="Compact"/>
            </w:pPr>
            <w:r>
              <w:t xml:space="preserve">Coverage: roughly one case in three reached</w:t>
            </w:r>
          </w:p>
        </w:tc>
      </w:tr>
      <w:tr>
        <w:tc>
          <w:tcPr/>
          <w:p>
            <w:pPr>
              <w:pStyle w:val="Compact"/>
            </w:pPr>
            <w:r>
              <w:rPr>
                <w:b/>
                <w:bCs/>
              </w:rPr>
              <w:t xml:space="preserve">Breastfeeding</w:t>
            </w:r>
          </w:p>
        </w:tc>
        <w:tc>
          <w:tcPr/>
          <w:p>
            <w:pPr>
              <w:pStyle w:val="Compact"/>
            </w:pPr>
            <w:r>
              <w:t xml:space="preserve">Support works, delivered by professionals</w:t>
            </w:r>
            <w:r>
              <w:t xml:space="preserve"> </w:t>
            </w:r>
            <w:r>
              <w:rPr>
                <w:i/>
                <w:iCs/>
              </w:rPr>
              <w:t xml:space="preserve">or</w:t>
            </w:r>
            <w:r>
              <w:t xml:space="preserve"> </w:t>
            </w:r>
            <w:r>
              <w:t xml:space="preserve">peers, and better in low- and middle-income countries than high-income ones. In</w:t>
            </w:r>
            <w:r>
              <w:t xml:space="preserve"> </w:t>
            </w:r>
            <w:r>
              <w:rPr>
                <w:b/>
                <w:bCs/>
              </w:rPr>
              <w:t xml:space="preserve">preterm or low-birth-weight infants</w:t>
            </w:r>
            <w:r>
              <w:t xml:space="preserve">, Kangaroo Mother Care cuts mortality</w:t>
            </w:r>
            <w:r>
              <w:t xml:space="preserve"> </w:t>
            </w:r>
            <w:r>
              <w:rPr>
                <w:b/>
                <w:bCs/>
              </w:rPr>
              <w:t xml:space="preserve">RR 0.68</w:t>
            </w:r>
            <w:r>
              <w:t xml:space="preserve">, rated high certainty (DOI 10.1136/bmjgh-2022-010728)</w:t>
            </w:r>
          </w:p>
        </w:tc>
        <w:tc>
          <w:tcPr/>
          <w:p>
            <w:pPr>
              <w:pStyle w:val="Compact"/>
            </w:pPr>
            <w:r>
              <w:t xml:space="preserve">That any particular cadre delivers support better than another; how the facility and community components hand over to each other</w:t>
            </w:r>
          </w:p>
        </w:tc>
        <w:tc>
          <w:tcPr/>
          <w:p>
            <w:pPr>
              <w:pStyle w:val="Compact"/>
            </w:pPr>
            <w:r>
              <w:t xml:space="preserve">Contact intensity and coverage</w:t>
            </w:r>
          </w:p>
        </w:tc>
      </w:tr>
      <w:tr>
        <w:tc>
          <w:tcPr/>
          <w:p>
            <w:pPr>
              <w:pStyle w:val="Compact"/>
            </w:pPr>
            <w:r>
              <w:rPr>
                <w:b/>
                <w:bCs/>
              </w:rPr>
              <w:t xml:space="preserve">MMS</w:t>
            </w:r>
          </w:p>
        </w:tc>
        <w:tc>
          <w:tcPr/>
          <w:p>
            <w:pPr>
              <w:pStyle w:val="Compact"/>
            </w:pPr>
            <w:r>
              <w:t xml:space="preserve">Outperforms iron-folic acid on</w:t>
            </w:r>
            <w:r>
              <w:t xml:space="preserve"> </w:t>
            </w:r>
            <w:r>
              <w:rPr>
                <w:b/>
                <w:bCs/>
              </w:rPr>
              <w:t xml:space="preserve">birth size</w:t>
            </w:r>
            <w:r>
              <w:t xml:space="preserve"> </w:t>
            </w:r>
            <w:r>
              <w:t xml:space="preserve">— low birthweight and small-for-gestational-age — across very large samples, at high certainty (RR 0.85–0.88; PMID 37051178, 39890230, Cochrane CD004905†)</w:t>
            </w:r>
          </w:p>
        </w:tc>
        <w:tc>
          <w:tcPr/>
          <w:p>
            <w:pPr>
              <w:pStyle w:val="Compact"/>
            </w:pPr>
            <w:r>
              <w:t xml:space="preserve">Any reduction in perinatal, neonatal or maternal mortality. The stillbirth benefit is contested between syntheses</w:t>
            </w:r>
          </w:p>
        </w:tc>
        <w:tc>
          <w:tcPr/>
          <w:p>
            <w:pPr>
              <w:pStyle w:val="Compact"/>
            </w:pPr>
            <w:r>
              <w:t xml:space="preserve">Adherence, and effectiveness rather than efficacy evidence</w:t>
            </w:r>
          </w:p>
        </w:tc>
      </w:tr>
    </w:tbl>
    <w:p>
      <w:pPr>
        <w:pStyle w:val="BodyText"/>
      </w:pPr>
      <w:r>
        <w:rPr>
          <w:i/>
          <w:iCs/>
        </w:rPr>
        <w:t xml:space="preserve">RR is a risk ratio: 1.00 means no difference, below 1 is fewer events. A bracketed range crossing 1.00 is not statistically significant.</w:t>
      </w:r>
    </w:p>
    <w:bookmarkEnd w:id="9"/>
    <w:bookmarkStart w:id="10" w:name="Xf08d6aa852721ed0980dc0f2611bb7a3d209dac"/>
    <w:p>
      <w:pPr>
        <w:pStyle w:val="Heading3"/>
      </w:pPr>
      <w:r>
        <w:t xml:space="preserve">Three findings that cut against intuition</w:t>
      </w:r>
    </w:p>
    <w:p>
      <w:pPr>
        <w:pStyle w:val="FirstParagraph"/>
      </w:pPr>
      <w:r>
        <w:rPr>
          <w:b/>
          <w:bCs/>
        </w:rPr>
        <w:t xml:space="preserve">Kangaroo Mother Care is the strongest single result in the review — and it is a small-and-sick-newborn intervention, not a universal one.</w:t>
      </w:r>
      <w:r>
        <w:t xml:space="preserve"> </w:t>
      </w:r>
      <w:r>
        <w:t xml:space="preserve">Among</w:t>
      </w:r>
      <w:r>
        <w:t xml:space="preserve"> </w:t>
      </w:r>
      <w:r>
        <w:rPr>
          <w:b/>
          <w:bCs/>
        </w:rPr>
        <w:t xml:space="preserve">preterm or low-birth-weight infants</w:t>
      </w:r>
      <w:r>
        <w:t xml:space="preserve">, at least eight hours a day of skin-to-skin care cuts mortality to 28 days by 32% (RR 0.68, 0.53–0.86, 10,505 infants; DOI 10.1136/bmjgh-2022-010728) — the only high-certainty</w:t>
      </w:r>
      <w:r>
        <w:t xml:space="preserve"> </w:t>
      </w:r>
      <w:r>
        <w:rPr>
          <w:i/>
          <w:iCs/>
        </w:rPr>
        <w:t xml:space="preserve">mortality</w:t>
      </w:r>
      <w:r>
        <w:t xml:space="preserve"> </w:t>
      </w:r>
      <w:r>
        <w:t xml:space="preserve">benefit anywhere in this review. Three qualifications belong with it. The eligible population is the roughly one birth in seven that is low birth weight, not all newborns. The pooled estimate is dominated by a single trial. And the largest African trial, OMWaNA in Uganda (2,221 neonates), found</w:t>
      </w:r>
      <w:r>
        <w:t xml:space="preserve"> </w:t>
      </w:r>
      <w:r>
        <w:rPr>
          <w:b/>
          <w:bCs/>
        </w:rPr>
        <w:t xml:space="preserve">no effect on its primary endpoint</w:t>
      </w:r>
      <w:r>
        <w:t xml:space="preserve"> </w:t>
      </w:r>
      <w:r>
        <w:t xml:space="preserve">of mortality within seven days when KMC was started before clinical stabilisation, though it improved thermal care and weight gain and was cost-effective†. The intervention is well evidenced; its reach and its delivery conditions are the open questions.</w:t>
      </w:r>
    </w:p>
    <w:p>
      <w:pPr>
        <w:pStyle w:val="BodyText"/>
      </w:pPr>
      <w:r>
        <w:rPr>
          <w:b/>
          <w:bCs/>
        </w:rPr>
        <w:t xml:space="preserve">MMS changes how babies grow, not whether they survive.</w:t>
      </w:r>
      <w:r>
        <w:t xml:space="preserve"> </w:t>
      </w:r>
      <w:r>
        <w:t xml:space="preserve">The benefit on</w:t>
      </w:r>
      <w:r>
        <w:t xml:space="preserve"> </w:t>
      </w:r>
      <w:r>
        <w:rPr>
          <w:b/>
          <w:bCs/>
        </w:rPr>
        <w:t xml:space="preserve">birth size</w:t>
      </w:r>
      <w:r>
        <w:t xml:space="preserve"> </w:t>
      </w:r>
      <w:r>
        <w:t xml:space="preserve">is consistent and high-certainty across every synthesis — low birthweight RR 0.85–0.88, small-for-gestational-age RR 0.92–0.93.</w:t>
      </w:r>
      <w:r>
        <w:t xml:space="preserve"> </w:t>
      </w:r>
      <w:r>
        <w:rPr>
          <w:b/>
          <w:bCs/>
        </w:rPr>
        <w:t xml:space="preserve">Mortality is a different story.</w:t>
      </w:r>
      <w:r>
        <w:t xml:space="preserve"> </w:t>
      </w:r>
      <w:r>
        <w:t xml:space="preserve">Perinatal mortality (RR 1.00, 0.90–1.11), neonatal mortality (RR 1.00, 0.89–1.12) and maternal mortality show no benefit, all at high certainty (PMID 32075071; Cochrane CD004905†). Stillbirth is genuinely contested: RR 0.91 (0.86–0.98) in the LMIC-restricted analyses (PMID 37051178), but RR 0.95 (0.86–1.04) — not significant — in both Cochrane† and an independent 2023 synthesis. Since perinatal mortality is stillbirth plus early neonatal death and is flatly null, the safer reading is that</w:t>
      </w:r>
      <w:r>
        <w:t xml:space="preserve"> </w:t>
      </w:r>
      <w:r>
        <w:rPr>
          <w:b/>
          <w:bCs/>
        </w:rPr>
        <w:t xml:space="preserve">the stillbirth benefit is not established</w:t>
      </w:r>
      <w:r>
        <w:t xml:space="preserve">. Present MMS on birth outcomes, which are settled, rather than on survival, which is not.</w:t>
      </w:r>
    </w:p>
    <w:p>
      <w:pPr>
        <w:pStyle w:val="BodyText"/>
      </w:pPr>
      <w:r>
        <w:rPr>
          <w:b/>
          <w:bCs/>
        </w:rPr>
        <w:t xml:space="preserve">On delivery, the package matters more than the cadre.</w:t>
      </w:r>
      <w:r>
        <w:t xml:space="preserve"> </w:t>
      </w:r>
      <w:r>
        <w:t xml:space="preserve">The intuitive lesson — hand delivery to community health workers — holds for malnutrition</w:t>
      </w:r>
      <w:r>
        <w:t xml:space="preserve"> </w:t>
      </w:r>
      <w:r>
        <w:rPr>
          <w:i/>
          <w:iCs/>
        </w:rPr>
        <w:t xml:space="preserve">treatment</w:t>
      </w:r>
      <w:r>
        <w:t xml:space="preserve"> </w:t>
      </w:r>
      <w:r>
        <w:t xml:space="preserve">and does not generalise. Cochrane’s breastfeeding review found</w:t>
      </w:r>
      <w:r>
        <w:t xml:space="preserve"> </w:t>
      </w:r>
      <w:r>
        <w:rPr>
          <w:b/>
          <w:bCs/>
        </w:rPr>
        <w:t xml:space="preserve">no differential effect by who provides support</w:t>
      </w:r>
      <w:r>
        <w:t xml:space="preserve">, concluding it may be offered by professionals, peers, or both (PMID 36282618). The neonatal-mortality benefit of postnatal home visits tracks what is delivered, not who delivers it: home visits combined with community mobilisation RR 0.69,</w:t>
      </w:r>
      <w:r>
        <w:t xml:space="preserve"> </w:t>
      </w:r>
      <w:r>
        <w:rPr>
          <w:b/>
          <w:bCs/>
        </w:rPr>
        <w:t xml:space="preserve">home visits alone RR 0.97 (0.90–1.05)</w:t>
      </w:r>
      <w:r>
        <w:t xml:space="preserve"> </w:t>
      </w:r>
      <w:r>
        <w:t xml:space="preserve">(PMID 31852432). And for supplements, pooled facility-based adherence (47.3%)</w:t>
      </w:r>
      <w:r>
        <w:t xml:space="preserve"> </w:t>
      </w:r>
      <w:r>
        <w:rPr>
          <w:i/>
          <w:iCs/>
        </w:rPr>
        <w:t xml:space="preserve">exceeded</w:t>
      </w:r>
      <w:r>
        <w:t xml:space="preserve"> </w:t>
      </w:r>
      <w:r>
        <w:t xml:space="preserve">community-based adherence (37.2%) (DOI 10.1186/s12884-020-2835-0). Design the package; do not assume the channel is the lever.</w:t>
      </w:r>
    </w:p>
    <w:p>
      <w:r>
        <w:pict>
          <v:rect style="width:0;height:1.5pt" o:hralign="center" o:hrstd="t" o:hr="t"/>
        </w:pict>
      </w:r>
    </w:p>
    <w:bookmarkEnd w:id="10"/>
    <w:bookmarkEnd w:id="11"/>
    <w:bookmarkStart w:id="12" w:name="delivery-channel-what-actually-transfers"/>
    <w:p>
      <w:pPr>
        <w:pStyle w:val="Heading2"/>
      </w:pPr>
      <w:r>
        <w:t xml:space="preserve">2. Delivery channel — what actually transfers</w:t>
      </w:r>
    </w:p>
    <w:p>
      <w:pPr>
        <w:pStyle w:val="FirstParagraph"/>
      </w:pPr>
      <w:r>
        <w:rPr>
          <w:b/>
          <w:bCs/>
        </w:rPr>
        <w:t xml:space="preserve">One finding transfers cleanly: decentralising malnutrition</w:t>
      </w:r>
      <w:r>
        <w:rPr>
          <w:b/>
          <w:bCs/>
        </w:rPr>
        <w:t xml:space="preserve"> </w:t>
      </w:r>
      <w:r>
        <w:rPr>
          <w:b/>
          <w:bCs/>
          <w:i/>
          <w:iCs/>
        </w:rPr>
        <w:t xml:space="preserve">treatment</w:t>
      </w:r>
      <w:r>
        <w:rPr>
          <w:b/>
          <w:bCs/>
        </w:rPr>
        <w:t xml:space="preserve"> </w:t>
      </w:r>
      <w:r>
        <w:rPr>
          <w:b/>
          <w:bCs/>
        </w:rPr>
        <w:t xml:space="preserve">to community health workers raises treatment coverage.</w:t>
      </w:r>
      <w:r>
        <w:t xml:space="preserve"> </w:t>
      </w:r>
      <w:r>
        <w:t xml:space="preserve">It is the strongest cross-country implementation signal in the review. Stated precisely, because the detail and the study designs matter:</w:t>
      </w:r>
    </w:p>
    <w:p>
      <w:pPr>
        <w:pStyle w:val="BlockText"/>
      </w:pPr>
      <w:r>
        <w:t xml:space="preserve">In</w:t>
      </w:r>
      <w:r>
        <w:t xml:space="preserve"> </w:t>
      </w:r>
      <w:r>
        <w:rPr>
          <w:b/>
          <w:bCs/>
        </w:rPr>
        <w:t xml:space="preserve">Mali</w:t>
      </w:r>
      <w:r>
        <w:t xml:space="preserve">, adding community health workers as treatment providers raised coverage from 28.7% to 57.1% in one district and 20.4% to 61.1% in another —</w:t>
      </w:r>
      <w:r>
        <w:t xml:space="preserve"> </w:t>
      </w:r>
      <w:r>
        <w:rPr>
          <w:b/>
          <w:bCs/>
        </w:rPr>
        <w:t xml:space="preserve">but produced no change in a third</w:t>
      </w:r>
      <w:r>
        <w:t xml:space="preserve">. The authors attribute the difference to where workers were placed relative to underserved populations. This is a before-and-after coverage survey, not a controlled comparison (DOI 10.1186/s12960-022-00771-8).</w:t>
      </w:r>
    </w:p>
    <w:p>
      <w:pPr>
        <w:pStyle w:val="BlockText"/>
      </w:pPr>
      <w:r>
        <w:t xml:space="preserve">In</w:t>
      </w:r>
      <w:r>
        <w:t xml:space="preserve"> </w:t>
      </w:r>
      <w:r>
        <w:rPr>
          <w:b/>
          <w:bCs/>
        </w:rPr>
        <w:t xml:space="preserve">Tanzania</w:t>
      </w:r>
      <w:r>
        <w:t xml:space="preserve">, coverage was 80.9% where community health workers treated at home against 41.7% in the comparison area —</w:t>
      </w:r>
      <w:r>
        <w:t xml:space="preserve"> </w:t>
      </w:r>
      <w:r>
        <w:rPr>
          <w:b/>
          <w:bCs/>
        </w:rPr>
        <w:t xml:space="preserve">a comparison between two districts, not a before-and-after</w:t>
      </w:r>
      <w:r>
        <w:t xml:space="preserve">, in a non-randomised pilot (DOI 10.1038/s41598-021-81811-6).</w:t>
      </w:r>
    </w:p>
    <w:p>
      <w:pPr>
        <w:pStyle w:val="FirstParagraph"/>
      </w:pPr>
      <w:r>
        <w:rPr>
          <w:b/>
          <w:bCs/>
        </w:rPr>
        <w:t xml:space="preserve">WHO’s 2023 wasting guideline supports this — conditionally.</w:t>
      </w:r>
      <w:r>
        <w:t xml:space="preserve"> </w:t>
      </w:r>
      <w:r>
        <w:t xml:space="preserve">It states that assessment, classification and management of wasting</w:t>
      </w:r>
      <w:r>
        <w:t xml:space="preserve"> </w:t>
      </w:r>
      <w:r>
        <w:t xml:space="preserve">“can be carried out by community health workers”</w:t>
      </w:r>
      <w:r>
        <w:t xml:space="preserve"> </w:t>
      </w:r>
      <w:r>
        <w:t xml:space="preserve">with adequate training and supervision, but issues this as a</w:t>
      </w:r>
      <w:r>
        <w:t xml:space="preserve"> </w:t>
      </w:r>
      <w:r>
        <w:rPr>
          <w:b/>
          <w:bCs/>
        </w:rPr>
        <w:t xml:space="preserve">conditional recommendation on very low certainty evidence</w:t>
      </w:r>
      <w:r>
        <w:t xml:space="preserve">†. That is the honest status to put in front of a ministry: permitted and endorsed in principle, not settled in evidence.</w:t>
      </w:r>
    </w:p>
    <w:p>
      <w:pPr>
        <w:pStyle w:val="BodyText"/>
      </w:pPr>
      <w:r>
        <w:rPr>
          <w:b/>
          <w:bCs/>
        </w:rPr>
        <w:t xml:space="preserve">What does not transfer.</w:t>
      </w:r>
      <w:r>
        <w:t xml:space="preserve"> </w:t>
      </w:r>
      <w:r>
        <w:t xml:space="preserve">For breastfeeding, the provider makes no measurable difference (§1). For antenatal supplements, the facility contact is where adherence is strongest, not the community. In</w:t>
      </w:r>
      <w:r>
        <w:t xml:space="preserve"> </w:t>
      </w:r>
      <w:r>
        <w:rPr>
          <w:b/>
          <w:bCs/>
        </w:rPr>
        <w:t xml:space="preserve">Nepal</w:t>
      </w:r>
      <w:r>
        <w:t xml:space="preserve">, national iron-folic-acid coverage rose from 23% to 91% between 2001 and 2016 after community volunteers were</w:t>
      </w:r>
      <w:r>
        <w:t xml:space="preserve"> </w:t>
      </w:r>
      <w:r>
        <w:rPr>
          <w:b/>
          <w:bCs/>
        </w:rPr>
        <w:t xml:space="preserve">added to</w:t>
      </w:r>
      <w:r>
        <w:t xml:space="preserve"> </w:t>
      </w:r>
      <w:r>
        <w:t xml:space="preserve">existing facility distribution — but the rise closely tracked antenatal coverage, which went from 49% to 94% over the same period, so the volunteers cannot be credited alone (DOI 10.1111/mcn.13173).</w:t>
      </w:r>
    </w:p>
    <w:p>
      <w:pPr>
        <w:pStyle w:val="BodyText"/>
      </w:pPr>
      <w:r>
        <w:rPr>
          <w:b/>
          <w:bCs/>
        </w:rPr>
        <w:t xml:space="preserve">Three qualifications travel with the treatment finding.</w:t>
      </w:r>
      <w:r>
        <w:t xml:space="preserve"> </w:t>
      </w:r>
      <w:r>
        <w:t xml:space="preserve">Coverage gains are not quality gains — in Pakistan, community-delivered treatment achieved</w:t>
      </w:r>
      <w:r>
        <w:t xml:space="preserve"> </w:t>
      </w:r>
      <w:r>
        <w:rPr>
          <w:i/>
          <w:iCs/>
        </w:rPr>
        <w:t xml:space="preserve">lower</w:t>
      </w:r>
      <w:r>
        <w:t xml:space="preserve"> </w:t>
      </w:r>
      <w:r>
        <w:t xml:space="preserve">recovery than facility care (76.0% against 82.95%), though the trial reported no significance test for that difference (DOI 10.1186/s12889-018-6382-9). Finding people is not treating them — in a Mali trial, screening coverage rose 40 percentage points while only 7.6% of cases across both arms received appropriate treatment (DOI 10.1371/journal.pmed.1002892). And these cadres are already overloaded and frequently unpaid; adding a mandate is a design risk, not a free win.</w:t>
      </w:r>
    </w:p>
    <w:p>
      <w:pPr>
        <w:pStyle w:val="BodyText"/>
      </w:pPr>
      <w:r>
        <w:rPr>
          <w:b/>
          <w:bCs/>
        </w:rPr>
        <w:t xml:space="preserve">The cheapest coverage gain may not be a cadre change at all.</w:t>
      </w:r>
      <w:r>
        <w:t xml:space="preserve"> </w:t>
      </w:r>
      <w:r>
        <w:t xml:space="preserve">In Niger, training 12,893 mothers to measure their own children’s mid-upper-arm circumference was non-inferior to 36 community health workers — better measurement agreement (75.4% vs 40.1%), earlier detection, far fewer children needing hospitalisation at admission (0.70% vs 7.75%), at roughly 40% of the annual cost†.</w:t>
      </w:r>
    </w:p>
    <w:p>
      <w:r>
        <w:pict>
          <v:rect style="width:0;height:1.5pt" o:hralign="center" o:hrstd="t" o:hr="t"/>
        </w:pict>
      </w:r>
    </w:p>
    <w:bookmarkEnd w:id="12"/>
    <w:bookmarkStart w:id="13" w:name="three-packaged-options"/>
    <w:p>
      <w:pPr>
        <w:pStyle w:val="Heading2"/>
      </w:pPr>
      <w:r>
        <w:t xml:space="preserve">3. Three packaged options</w:t>
      </w:r>
    </w:p>
    <w:p>
      <w:pPr>
        <w:pStyle w:val="FirstParagraph"/>
      </w:pPr>
      <w:r>
        <w:t xml:space="preserve">What the evidence supports as coherent packages. They map onto the three scaling positions partners chose these interventions to test.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rPr>
                <w:b/>
                <w:bCs/>
              </w:rPr>
              <w:t xml:space="preserve">A — Facility newborn</w:t>
            </w:r>
          </w:p>
        </w:tc>
        <w:tc>
          <w:tcPr/>
          <w:p>
            <w:pPr>
              <w:pStyle w:val="Compact"/>
            </w:pPr>
            <w:r>
              <w:rPr>
                <w:b/>
                <w:bCs/>
              </w:rPr>
              <w:t xml:space="preserve">B — Community treatment</w:t>
            </w:r>
          </w:p>
        </w:tc>
        <w:tc>
          <w:tcPr/>
          <w:p>
            <w:pPr>
              <w:pStyle w:val="Compact"/>
            </w:pPr>
            <w:r>
              <w:rPr>
                <w:b/>
                <w:bCs/>
              </w:rPr>
              <w:t xml:space="preserve">C — Antenatal commodity</w:t>
            </w:r>
          </w:p>
        </w:tc>
      </w:tr>
      <w:tr>
        <w:tc>
          <w:tcPr/>
          <w:p>
            <w:pPr>
              <w:pStyle w:val="Compact"/>
            </w:pPr>
            <w:r>
              <w:t xml:space="preserve">What it is</w:t>
            </w:r>
          </w:p>
        </w:tc>
        <w:tc>
          <w:tcPr/>
          <w:p>
            <w:pPr>
              <w:pStyle w:val="Compact"/>
            </w:pPr>
            <w:r>
              <w:t xml:space="preserve">Kangaroo Mother Care and skin-to-skin for small and sick newborns, plus early initiation at the facility, then community counselling at 4–8 contacts</w:t>
            </w:r>
          </w:p>
        </w:tc>
        <w:tc>
          <w:tcPr/>
          <w:p>
            <w:pPr>
              <w:pStyle w:val="Compact"/>
            </w:pPr>
            <w:r>
              <w:t xml:space="preserve">Malnutrition treatment decentralised to community health workers, simplified protocol, plus supervision and supply chain</w:t>
            </w:r>
          </w:p>
        </w:tc>
        <w:tc>
          <w:tcPr/>
          <w:p>
            <w:pPr>
              <w:pStyle w:val="Compact"/>
            </w:pPr>
            <w:r>
              <w:t xml:space="preserve">Switching antenatal supplements from iron-folic acid to MMS, with contact and counselling intensification</w:t>
            </w:r>
          </w:p>
        </w:tc>
      </w:tr>
      <w:tr>
        <w:tc>
          <w:tcPr/>
          <w:p>
            <w:pPr>
              <w:pStyle w:val="Compact"/>
            </w:pPr>
            <w:r>
              <w:t xml:space="preserve">Scaling position</w:t>
            </w:r>
          </w:p>
        </w:tc>
        <w:tc>
          <w:tcPr/>
          <w:p>
            <w:pPr>
              <w:pStyle w:val="Compact"/>
            </w:pPr>
            <w:r>
              <w:t xml:space="preserve">Health-system platform + behavioural</w:t>
            </w:r>
          </w:p>
        </w:tc>
        <w:tc>
          <w:tcPr/>
          <w:p>
            <w:pPr>
              <w:pStyle w:val="Compact"/>
            </w:pPr>
            <w:r>
              <w:t xml:space="preserve">Health-system treatment</w:t>
            </w:r>
          </w:p>
        </w:tc>
        <w:tc>
          <w:tcPr/>
          <w:p>
            <w:pPr>
              <w:pStyle w:val="Compact"/>
            </w:pPr>
            <w:r>
              <w:t xml:space="preserve">Commodity</w:t>
            </w:r>
          </w:p>
        </w:tc>
      </w:tr>
      <w:tr>
        <w:tc>
          <w:tcPr/>
          <w:p>
            <w:pPr>
              <w:pStyle w:val="Compact"/>
            </w:pPr>
            <w:r>
              <w:t xml:space="preserve">Strongest evidence</w:t>
            </w:r>
          </w:p>
        </w:tc>
        <w:tc>
          <w:tcPr/>
          <w:p>
            <w:pPr>
              <w:pStyle w:val="Compact"/>
            </w:pPr>
            <w:r>
              <w:rPr>
                <w:b/>
                <w:bCs/>
              </w:rPr>
              <w:t xml:space="preserve">Mortality in preterm/low-birth-weight infants, high certainty</w:t>
            </w:r>
            <w:r>
              <w:t xml:space="preserve"> </w:t>
            </w:r>
            <w:r>
              <w:t xml:space="preserve">(RR 0.68) — with a null primary endpoint in the largest African trial†</w:t>
            </w:r>
          </w:p>
        </w:tc>
        <w:tc>
          <w:tcPr/>
          <w:p>
            <w:pPr>
              <w:pStyle w:val="Compact"/>
            </w:pPr>
            <w:r>
              <w:t xml:space="preserve">Coverage gains, replicated across districts and countries</w:t>
            </w:r>
          </w:p>
        </w:tc>
        <w:tc>
          <w:tcPr/>
          <w:p>
            <w:pPr>
              <w:pStyle w:val="Compact"/>
            </w:pPr>
            <w:r>
              <w:rPr>
                <w:b/>
                <w:bCs/>
              </w:rPr>
              <w:t xml:space="preserve">Birth size, high certainty</w:t>
            </w:r>
            <w:r>
              <w:t xml:space="preserve"> </w:t>
            </w:r>
            <w:r>
              <w:t xml:space="preserve">(low birthweight RR 0.85–0.88)</w:t>
            </w:r>
          </w:p>
        </w:tc>
      </w:tr>
      <w:tr>
        <w:tc>
          <w:tcPr/>
          <w:p>
            <w:pPr>
              <w:pStyle w:val="Compact"/>
            </w:pPr>
            <w:r>
              <w:t xml:space="preserve">Delivers a mortality benefit?</w:t>
            </w:r>
          </w:p>
        </w:tc>
        <w:tc>
          <w:tcPr/>
          <w:p>
            <w:pPr>
              <w:pStyle w:val="Compact"/>
            </w:pPr>
            <w:r>
              <w:rPr>
                <w:b/>
                <w:bCs/>
              </w:rPr>
              <w:t xml:space="preserve">Yes</w:t>
            </w:r>
            <w:r>
              <w:t xml:space="preserve">, in the eligible population</w:t>
            </w:r>
          </w:p>
        </w:tc>
        <w:tc>
          <w:tcPr/>
          <w:p>
            <w:pPr>
              <w:pStyle w:val="Compact"/>
            </w:pPr>
            <w:r>
              <w:t xml:space="preserve">Not directly measured, but it treats a condition carrying ~11× mortality risk†</w:t>
            </w:r>
          </w:p>
        </w:tc>
        <w:tc>
          <w:tcPr/>
          <w:p>
            <w:pPr>
              <w:pStyle w:val="Compact"/>
            </w:pPr>
            <w:r>
              <w:t xml:space="preserve">No — birth outcomes only</w:t>
            </w:r>
          </w:p>
        </w:tc>
      </w:tr>
      <w:tr>
        <w:tc>
          <w:tcPr/>
          <w:p>
            <w:pPr>
              <w:pStyle w:val="Compact"/>
            </w:pPr>
            <w:r>
              <w:t xml:space="preserve">Channel already exists?</w:t>
            </w:r>
          </w:p>
        </w:tc>
        <w:tc>
          <w:tcPr/>
          <w:p>
            <w:pPr>
              <w:pStyle w:val="Compact"/>
            </w:pPr>
            <w:r>
              <w:t xml:space="preserve">Partly</w:t>
            </w:r>
          </w:p>
        </w:tc>
        <w:tc>
          <w:tcPr/>
          <w:p>
            <w:pPr>
              <w:pStyle w:val="Compact"/>
            </w:pPr>
            <w:r>
              <w:t xml:space="preserve">Rarely — Ethiopia, Malawi and Niger have integrated it into government systems†</w:t>
            </w:r>
          </w:p>
        </w:tc>
        <w:tc>
          <w:tcPr/>
          <w:p>
            <w:pPr>
              <w:pStyle w:val="Compact"/>
            </w:pPr>
            <w:r>
              <w:rPr>
                <w:b/>
                <w:bCs/>
              </w:rPr>
              <w:t xml:space="preserve">Yes</w:t>
            </w:r>
            <w:r>
              <w:t xml:space="preserve"> </w:t>
            </w:r>
            <w:r>
              <w:t xml:space="preserve">— replaces an existing commodity</w:t>
            </w:r>
          </w:p>
        </w:tc>
      </w:tr>
      <w:tr>
        <w:tc>
          <w:tcPr/>
          <w:p>
            <w:pPr>
              <w:pStyle w:val="Compact"/>
            </w:pPr>
            <w:r>
              <w:t xml:space="preserve">Commodity dependence</w:t>
            </w:r>
          </w:p>
        </w:tc>
        <w:tc>
          <w:tcPr/>
          <w:p>
            <w:pPr>
              <w:pStyle w:val="Compact"/>
            </w:pPr>
            <w:r>
              <w:t xml:space="preserve">None beyond facility capacity</w:t>
            </w:r>
          </w:p>
        </w:tc>
        <w:tc>
          <w:tcPr/>
          <w:p>
            <w:pPr>
              <w:pStyle w:val="Compact"/>
            </w:pPr>
            <w:r>
              <w:t xml:space="preserve">High (therapeutic food)</w:t>
            </w:r>
          </w:p>
        </w:tc>
        <w:tc>
          <w:tcPr/>
          <w:p>
            <w:pPr>
              <w:pStyle w:val="Compact"/>
            </w:pPr>
            <w:r>
              <w:t xml:space="preserve">Moderate (tablets)</w:t>
            </w:r>
          </w:p>
        </w:tc>
      </w:tr>
      <w:tr>
        <w:tc>
          <w:tcPr/>
          <w:p>
            <w:pPr>
              <w:pStyle w:val="Compact"/>
            </w:pPr>
            <w:r>
              <w:t xml:space="preserve">Hardest part</w:t>
            </w:r>
          </w:p>
        </w:tc>
        <w:tc>
          <w:tcPr/>
          <w:p>
            <w:pPr>
              <w:pStyle w:val="Compact"/>
            </w:pPr>
            <w:r>
              <w:t xml:space="preserve">Facility coverage and staffing</w:t>
            </w:r>
          </w:p>
        </w:tc>
        <w:tc>
          <w:tcPr/>
          <w:p>
            <w:pPr>
              <w:pStyle w:val="Compact"/>
            </w:pPr>
            <w:r>
              <w:t xml:space="preserve">Quality, supply and post-discharge follow-up at scale</w:t>
            </w:r>
          </w:p>
        </w:tc>
        <w:tc>
          <w:tcPr/>
          <w:p>
            <w:pPr>
              <w:pStyle w:val="Compact"/>
            </w:pPr>
            <w:r>
              <w:t xml:space="preserve">Adherence, and WHO’s research-only recommendation</w:t>
            </w:r>
          </w:p>
        </w:tc>
      </w:tr>
    </w:tbl>
    <w:p>
      <w:pPr>
        <w:pStyle w:val="BodyText"/>
      </w:pPr>
      <w:r>
        <w:rPr>
          <w:b/>
          <w:bCs/>
        </w:rPr>
        <w:t xml:space="preserve">Three observations for choosing.</w:t>
      </w:r>
      <w:r>
        <w:t xml:space="preserve"> </w:t>
      </w:r>
      <w:r>
        <w:t xml:space="preserve">Option C is a substitution into an existing channel while Option B often means building a service that does not exist — that difference matters more for feasibility than any effect size here.</w:t>
      </w:r>
      <w:r>
        <w:t xml:space="preserve"> </w:t>
      </w:r>
      <w:r>
        <w:rPr>
          <w:b/>
          <w:bCs/>
        </w:rPr>
        <w:t xml:space="preserve">Options A and B compete for the same community health worker cadre</w:t>
      </w:r>
      <w:r>
        <w:t xml:space="preserve">, which makes running both the highest-risk configuration in this review. And Option A is the only package carrying a high-certainty</w:t>
      </w:r>
      <w:r>
        <w:t xml:space="preserve"> </w:t>
      </w:r>
      <w:r>
        <w:rPr>
          <w:i/>
          <w:iCs/>
        </w:rPr>
        <w:t xml:space="preserve">mortality</w:t>
      </w:r>
      <w:r>
        <w:t xml:space="preserve"> </w:t>
      </w:r>
      <w:r>
        <w:t xml:space="preserve">benefit — though Option C carries a high-certainty benefit on birth size, and reaches every pregnancy rather than one birth in seven.</w:t>
      </w:r>
    </w:p>
    <w:p>
      <w:r>
        <w:pict>
          <v:rect style="width:0;height:1.5pt" o:hralign="center" o:hrstd="t" o:hr="t"/>
        </w:pict>
      </w:r>
    </w:p>
    <w:bookmarkEnd w:id="13"/>
    <w:bookmarkStart w:id="14" w:name="can-interventions-be-combined"/>
    <w:p>
      <w:pPr>
        <w:pStyle w:val="Heading2"/>
      </w:pPr>
      <w:r>
        <w:t xml:space="preserve">4. Can interventions be combined?</w:t>
      </w:r>
    </w:p>
    <w:p>
      <w:pPr>
        <w:pStyle w:val="FirstParagraph"/>
      </w:pPr>
      <w:r>
        <w:t xml:space="preserve">Partly, and less than partners may hope. Of 648 on-topic records, 173 discuss combination —</w:t>
      </w:r>
      <w:r>
        <w:t xml:space="preserve"> </w:t>
      </w:r>
      <w:r>
        <w:rPr>
          <w:b/>
          <w:bCs/>
        </w:rPr>
        <w:t xml:space="preserve">nine actually test one</w:t>
      </w:r>
      <w:r>
        <w:t xml:space="preserve">.</w:t>
      </w:r>
    </w:p>
    <w:p>
      <w:pPr>
        <w:pStyle w:val="BodyText"/>
      </w:pPr>
      <w:r>
        <w:rPr>
          <w:b/>
          <w:bCs/>
        </w:rPr>
        <w:t xml:space="preserve">Well evidenced:</w:t>
      </w:r>
      <w:r>
        <w:t xml:space="preserve"> </w:t>
      </w:r>
      <w:r>
        <w:t xml:space="preserve">combining</w:t>
      </w:r>
      <w:r>
        <w:t xml:space="preserve"> </w:t>
      </w:r>
      <w:r>
        <w:rPr>
          <w:i/>
          <w:iCs/>
        </w:rPr>
        <w:t xml:space="preserve">within</w:t>
      </w:r>
      <w:r>
        <w:t xml:space="preserve"> </w:t>
      </w:r>
      <w:r>
        <w:t xml:space="preserve">an intervention (simplified protocols merging severe and moderate malnutrition treatment; the facility-plus-community breastfeeding configuration), and pairing an intervention with a</w:t>
      </w:r>
      <w:r>
        <w:t xml:space="preserve"> </w:t>
      </w:r>
      <w:r>
        <w:rPr>
          <w:b/>
          <w:bCs/>
        </w:rPr>
        <w:t xml:space="preserve">demand-side mechanism</w:t>
      </w:r>
      <w:r>
        <w:t xml:space="preserve">. In the Democratic Republic of the Congo, adding a US$40 monthly cash transfer to malnutrition treatment improved recovery (HR 1.35) and reduced relapse — to moderate malnutrition HR 0.21, to severe malnutrition HR 0.30 (DOI 10.1186/s12916-017-0848-y). WHO’s 2023 guideline now recommends cash transfers to reduce relapse†. In Nepal, participatory women’s groups with cash</w:t>
      </w:r>
      <w:r>
        <w:t xml:space="preserve"> </w:t>
      </w:r>
      <w:r>
        <w:rPr>
          <w:i/>
          <w:iCs/>
        </w:rPr>
        <w:t xml:space="preserve">or</w:t>
      </w:r>
      <w:r>
        <w:t xml:space="preserve"> </w:t>
      </w:r>
      <w:r>
        <w:t xml:space="preserve">food transfers raised the odds of consuming iron-folic acid 2.5–4.6 fold across the three intervention arms (DOI 10.1093/jn/nxy109).</w:t>
      </w:r>
    </w:p>
    <w:p>
      <w:pPr>
        <w:pStyle w:val="BodyText"/>
      </w:pPr>
      <w:r>
        <w:rPr>
          <w:b/>
          <w:bCs/>
        </w:rPr>
        <w:t xml:space="preserve">Not evidenced, and one warning:</w:t>
      </w:r>
      <w:r>
        <w:t xml:space="preserve"> </w:t>
      </w:r>
      <w:r>
        <w:t xml:space="preserve">no trial in our corpus combines the three interventions with each other. And integrating supplements into community screening in Mali raised screening coverage 40 percentage points but produced</w:t>
      </w:r>
      <w:r>
        <w:t xml:space="preserve"> </w:t>
      </w:r>
      <w:r>
        <w:rPr>
          <w:b/>
          <w:bCs/>
        </w:rPr>
        <w:t xml:space="preserve">no improvement in treatment coverage and reduced enrolment</w:t>
      </w:r>
      <w:r>
        <w:t xml:space="preserve"> </w:t>
      </w:r>
      <w:r>
        <w:t xml:space="preserve">in the malnutrition programme it was added to (DOI 10.1371/journal.pmed.1002892).</w:t>
      </w:r>
    </w:p>
    <w:p>
      <w:pPr>
        <w:pStyle w:val="BodyText"/>
      </w:pPr>
      <w:r>
        <w:rPr>
          <w:b/>
          <w:bCs/>
        </w:rPr>
        <w:t xml:space="preserve">Bundling is not additive.</w:t>
      </w:r>
      <w:r>
        <w:t xml:space="preserve"> </w:t>
      </w:r>
      <w:r>
        <w:t xml:space="preserve">Adding a task to a community platform can displace an existing one. Any combined design should treat</w:t>
      </w:r>
      <w:r>
        <w:t xml:space="preserve"> </w:t>
      </w:r>
      <w:r>
        <w:t xml:space="preserve">“does enrolment in the existing service hold?”</w:t>
      </w:r>
      <w:r>
        <w:t xml:space="preserve"> </w:t>
      </w:r>
      <w:r>
        <w:t xml:space="preserve">as a measured outcome.</w:t>
      </w:r>
    </w:p>
    <w:p>
      <w:r>
        <w:pict>
          <v:rect style="width:0;height:1.5pt" o:hralign="center" o:hrstd="t" o:hr="t"/>
        </w:pict>
      </w:r>
    </w:p>
    <w:bookmarkEnd w:id="14"/>
    <w:bookmarkStart w:id="15" w:name="where-countries"/>
    <w:p>
      <w:pPr>
        <w:pStyle w:val="Heading2"/>
      </w:pPr>
      <w:r>
        <w:t xml:space="preserve">5. Where — countries</w:t>
      </w:r>
    </w:p>
    <w:p>
      <w:pPr>
        <w:pStyle w:val="FirstParagraph"/>
      </w:pPr>
      <w:r>
        <w:t xml:space="preserve">582 of 648 on-topic records carry country tags, and eleven countries have enough evidence across all three interventions to say something about each.</w:t>
      </w:r>
    </w:p>
    <w:p>
      <w:pPr>
        <w:pStyle w:val="Compact"/>
        <w:numPr>
          <w:ilvl w:val="0"/>
          <w:numId w:val="1002"/>
        </w:numPr>
      </w:pPr>
      <w:r>
        <w:rPr>
          <w:b/>
          <w:bCs/>
        </w:rPr>
        <w:t xml:space="preserve">Ethiopia</w:t>
      </w:r>
      <w:r>
        <w:t xml:space="preserve"> </w:t>
      </w:r>
      <w:r>
        <w:t xml:space="preserve">is the country where all three interventions most clearly run through a single government community platform — roughly 40,000 Health Extension Workers — and it is the case multi-country reviews cite for community-delivered treatment at national scale. It has also already made the policy move this review contemplates: a national guideline on simplified and combined approaches to acute malnutrition treatment, issued in 2023†. It is not unique in running CMAM through government: Malawi and Niger integrated it in the same post-emergency generation†.</w:t>
      </w:r>
    </w:p>
    <w:p>
      <w:pPr>
        <w:pStyle w:val="Compact"/>
        <w:numPr>
          <w:ilvl w:val="0"/>
          <w:numId w:val="1002"/>
        </w:numPr>
      </w:pPr>
      <w:r>
        <w:rPr>
          <w:b/>
          <w:bCs/>
        </w:rPr>
        <w:t xml:space="preserve">India</w:t>
      </w:r>
      <w:r>
        <w:t xml:space="preserve"> </w:t>
      </w:r>
      <w:r>
        <w:t xml:space="preserve">has the densest formal platform architecture and live national missions, with failures documented in inter-sectoral coordination and frontline-worker incentives rather than in platform existence. It has no national CMAM guideline; treatment remains centred on facility-based nutrition rehabilitation, with state-level community models.</w:t>
      </w:r>
    </w:p>
    <w:p>
      <w:pPr>
        <w:pStyle w:val="Compact"/>
        <w:numPr>
          <w:ilvl w:val="0"/>
          <w:numId w:val="1002"/>
        </w:numPr>
      </w:pPr>
      <w:r>
        <w:rPr>
          <w:b/>
          <w:bCs/>
        </w:rPr>
        <w:t xml:space="preserve">Nepal</w:t>
      </w:r>
      <w:r>
        <w:t xml:space="preserve"> </w:t>
      </w:r>
      <w:r>
        <w:t xml:space="preserve">has the clearest national coverage turnaround in the corpus, and its own literature proposes that platform for the iron-folic-acid-to-MMS switch.</w:t>
      </w:r>
    </w:p>
    <w:p>
      <w:pPr>
        <w:pStyle w:val="Compact"/>
        <w:numPr>
          <w:ilvl w:val="0"/>
          <w:numId w:val="1002"/>
        </w:numPr>
      </w:pPr>
      <w:r>
        <w:rPr>
          <w:b/>
          <w:bCs/>
        </w:rPr>
        <w:t xml:space="preserve">Pakistan</w:t>
      </w:r>
      <w:r>
        <w:t xml:space="preserve"> </w:t>
      </w:r>
      <w:r>
        <w:t xml:space="preserve">has a national MMS commitment already made — and supplies the sharpest counter-signal, where community-delivered treatment under-performed facility care.</w:t>
      </w:r>
    </w:p>
    <w:p>
      <w:pPr>
        <w:pStyle w:val="Compact"/>
        <w:numPr>
          <w:ilvl w:val="0"/>
          <w:numId w:val="1002"/>
        </w:numPr>
      </w:pPr>
      <w:r>
        <w:rPr>
          <w:b/>
          <w:bCs/>
        </w:rPr>
        <w:t xml:space="preserve">Bangladesh</w:t>
      </w:r>
      <w:r>
        <w:t xml:space="preserve"> </w:t>
      </w:r>
      <w:r>
        <w:t xml:space="preserve">shows a treatment platform that would need building rather than leveraging — but it hosts the best-documented at-scale breastfeeding programme in the world: intensive counselling combined with mass media and community mobilisation raised exclusive breastfeeding from 48.5% to 87.6% in intensive areas under a cluster-randomised evaluation†. If the co-design is scoped to breastfeeding, that changes Bangladesh’s standing considerably.</w:t>
      </w:r>
    </w:p>
    <w:p>
      <w:pPr>
        <w:pStyle w:val="Compact"/>
        <w:numPr>
          <w:ilvl w:val="0"/>
          <w:numId w:val="1002"/>
        </w:numPr>
      </w:pPr>
      <w:r>
        <w:rPr>
          <w:b/>
          <w:bCs/>
        </w:rPr>
        <w:t xml:space="preserve">Kenya, Ghana, Malawi, Niger, Indonesia and Nigeria</w:t>
      </w:r>
      <w:r>
        <w:t xml:space="preserve"> </w:t>
      </w:r>
      <w:r>
        <w:t xml:space="preserve">all carry enough evidence to describe.</w:t>
      </w:r>
    </w:p>
    <w:p>
      <w:pPr>
        <w:pStyle w:val="FirstParagraph"/>
      </w:pPr>
      <w:r>
        <w:rPr>
          <w:b/>
          <w:bCs/>
        </w:rPr>
        <w:t xml:space="preserve">Read country evidence volume as research attention, not suitability.</w:t>
      </w:r>
      <w:r>
        <w:t xml:space="preserve"> </w:t>
      </w:r>
      <w:r>
        <w:t xml:space="preserve">A country appears prominently because it has been studied.</w:t>
      </w:r>
    </w:p>
    <w:p>
      <w:pPr>
        <w:pStyle w:val="BodyText"/>
      </w:pPr>
      <w:r>
        <w:rPr>
          <w:b/>
          <w:bCs/>
        </w:rPr>
        <w:t xml:space="preserve">What would settle the choice</w:t>
      </w:r>
      <w:r>
        <w:t xml:space="preserve">, in rough order of decisiveness: government appetite and current policy windows; CARE and IA operational footprint; fragility and security; the financing landscape; and cost.</w:t>
      </w:r>
      <w:r>
        <w:t xml:space="preserve"> </w:t>
      </w:r>
      <w:r>
        <w:rPr>
          <w:b/>
          <w:bCs/>
        </w:rPr>
        <w:t xml:space="preserve">None of these is in the corpus.</w:t>
      </w:r>
      <w:r>
        <w:t xml:space="preserve"> </w:t>
      </w:r>
      <w:r>
        <w:t xml:space="preserve">A practical route: pick three or four countries where partners already have a footprint, and assess those with partner input.</w:t>
      </w:r>
    </w:p>
    <w:p>
      <w:r>
        <w:pict>
          <v:rect style="width:0;height:1.5pt" o:hralign="center" o:hrstd="t" o:hr="t"/>
        </w:pict>
      </w:r>
    </w:p>
    <w:bookmarkEnd w:id="15"/>
    <w:bookmarkStart w:id="16" w:name="what-this-review-does-not-cover"/>
    <w:p>
      <w:pPr>
        <w:pStyle w:val="Heading2"/>
      </w:pPr>
      <w:r>
        <w:t xml:space="preserve">6. What this review does not cover</w:t>
      </w:r>
    </w:p>
    <w:p>
      <w:pPr>
        <w:pStyle w:val="Compact"/>
        <w:numPr>
          <w:ilvl w:val="0"/>
          <w:numId w:val="1003"/>
        </w:numPr>
      </w:pPr>
      <w:r>
        <w:rPr>
          <w:b/>
          <w:bCs/>
        </w:rPr>
        <w:t xml:space="preserve">Cost and cost-effectiveness</w:t>
      </w:r>
      <w:r>
        <w:t xml:space="preserve"> </w:t>
      </w:r>
      <w:r>
        <w:t xml:space="preserve">— deferred by design. Two findings here are cost findings in disguise and should seed that phase: a simplified protocol holds recovery on about 46% less therapeutic food (DOI 10.1016/j.eclinm.2023.101878), and cutting the dairy content of that food — a costly ingredient — worsens recovery, though only marginally so (RR 0.93, 0.87–1.00; DOI 10.1093/advances/nmab027).</w:t>
      </w:r>
    </w:p>
    <w:p>
      <w:pPr>
        <w:pStyle w:val="Compact"/>
        <w:numPr>
          <w:ilvl w:val="0"/>
          <w:numId w:val="1003"/>
        </w:numPr>
      </w:pPr>
      <w:r>
        <w:rPr>
          <w:b/>
          <w:bCs/>
        </w:rPr>
        <w:t xml:space="preserve">A country recommendation or ranking.</w:t>
      </w:r>
    </w:p>
    <w:p>
      <w:pPr>
        <w:pStyle w:val="Compact"/>
        <w:numPr>
          <w:ilvl w:val="0"/>
          <w:numId w:val="1003"/>
        </w:numPr>
      </w:pPr>
      <w:r>
        <w:rPr>
          <w:b/>
          <w:bCs/>
        </w:rPr>
        <w:t xml:space="preserve">A settled position on simplified protocols.</w:t>
      </w:r>
      <w:r>
        <w:t xml:space="preserve"> </w:t>
      </w:r>
      <w:r>
        <w:t xml:space="preserve">They are credibly non-inferior in aggregate and generate real commodity savings, but they are</w:t>
      </w:r>
      <w:r>
        <w:t xml:space="preserve"> </w:t>
      </w:r>
      <w:r>
        <w:rPr>
          <w:b/>
          <w:bCs/>
        </w:rPr>
        <w:t xml:space="preserve">not yet normatively adopted</w:t>
      </w:r>
      <w:r>
        <w:t xml:space="preserve"> </w:t>
      </w:r>
      <w:r>
        <w:t xml:space="preserve">— WHO 2023 retained weight-based dosing and dual discharge criteria†. A 2025 three-arm trial in Niger found both leading simplified protocols non-inferior overall, but the</w:t>
      </w:r>
      <w:r>
        <w:t xml:space="preserve"> </w:t>
      </w:r>
      <w:r>
        <w:rPr>
          <w:b/>
          <w:bCs/>
        </w:rPr>
        <w:t xml:space="preserve">standard protocol achieved higher recovery in the most severely wasted children</w:t>
      </w:r>
      <w:r>
        <w:t xml:space="preserve">†, and reduced-dose regimens carry a small linear-growth penalty†. For a national co-design, that gap between trial evidence and guideline is the finding.</w:t>
      </w:r>
    </w:p>
    <w:p>
      <w:r>
        <w:pict>
          <v:rect style="width:0;height:1.5pt" o:hralign="center" o:hrstd="t" o:hr="t"/>
        </w:pict>
      </w:r>
    </w:p>
    <w:bookmarkEnd w:id="16"/>
    <w:bookmarkStart w:id="17" w:name="X97c8c110c05e220ab1b1d31d8f72267b7eaf56f"/>
    <w:p>
      <w:pPr>
        <w:pStyle w:val="Heading2"/>
      </w:pPr>
      <w:r>
        <w:t xml:space="preserve">7. Evidence added outside the retrieved corpus</w:t>
      </w:r>
    </w:p>
    <w:p>
      <w:pPr>
        <w:pStyle w:val="FirstParagraph"/>
      </w:pPr>
      <w:r>
        <w:t xml:space="preserve">Retrieval drew on PubMed and OpenAlex. Normative guidance and a small number of landmark trials sit outside what those searches reach, and are marked</w:t>
      </w:r>
      <w:r>
        <w:t xml:space="preserve"> </w:t>
      </w:r>
      <w:r>
        <w:rPr>
          <w:b/>
          <w:bCs/>
        </w:rPr>
        <w:t xml:space="preserve">†</w:t>
      </w:r>
      <w:r>
        <w:t xml:space="preserve"> </w:t>
      </w:r>
      <w:r>
        <w:t xml:space="preserve">above. They are listed here so their provenance is explicit.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Source</w:t>
            </w:r>
          </w:p>
        </w:tc>
        <w:tc>
          <w:tcPr/>
          <w:p>
            <w:pPr>
              <w:pStyle w:val="Compact"/>
            </w:pPr>
            <w:r>
              <w:t xml:space="preserve">Why it is here</w:t>
            </w:r>
          </w:p>
        </w:tc>
      </w:tr>
      <w:tr>
        <w:tc>
          <w:tcPr/>
          <w:p>
            <w:pPr>
              <w:pStyle w:val="Compact"/>
            </w:pPr>
            <w:r>
              <w:rPr>
                <w:b/>
                <w:bCs/>
              </w:rPr>
              <w:t xml:space="preserve">WHO guideline on the prevention and management of wasting and nutritional oedema in infants and children under 5</w:t>
            </w:r>
            <w:r>
              <w:t xml:space="preserve"> </w:t>
            </w:r>
            <w:r>
              <w:t xml:space="preserve">(WHO, 2023)</w:t>
            </w:r>
          </w:p>
        </w:tc>
        <w:tc>
          <w:tcPr/>
          <w:p>
            <w:pPr>
              <w:pStyle w:val="Compact"/>
            </w:pPr>
            <w:r>
              <w:t xml:space="preserve">The document that determines what a ministry can adopt. Makes community-health-worker delivery a</w:t>
            </w:r>
            <w:r>
              <w:t xml:space="preserve"> </w:t>
            </w:r>
            <w:r>
              <w:rPr>
                <w:i/>
                <w:iCs/>
              </w:rPr>
              <w:t xml:space="preserve">conditional</w:t>
            </w:r>
            <w:r>
              <w:t xml:space="preserve"> </w:t>
            </w:r>
            <w:r>
              <w:t xml:space="preserve">recommendation on</w:t>
            </w:r>
            <w:r>
              <w:t xml:space="preserve"> </w:t>
            </w:r>
            <w:r>
              <w:rPr>
                <w:i/>
                <w:iCs/>
              </w:rPr>
              <w:t xml:space="preserve">very low certainty</w:t>
            </w:r>
            <w:r>
              <w:t xml:space="preserve"> </w:t>
            </w:r>
            <w:r>
              <w:t xml:space="preserve">evidence; retains weight-based dosing and dual discharge criteria; recommends cash transfers to reduce relapse</w:t>
            </w:r>
          </w:p>
        </w:tc>
      </w:tr>
      <w:tr>
        <w:tc>
          <w:tcPr/>
          <w:p>
            <w:pPr>
              <w:pStyle w:val="Compact"/>
            </w:pPr>
            <w:r>
              <w:rPr>
                <w:b/>
                <w:bCs/>
              </w:rPr>
              <w:t xml:space="preserve">Keats EC, Haider BA, Tam E, Bhutta ZA. Multiple-micronutrient supplementation for women during pregnancy.</w:t>
            </w:r>
            <w:r>
              <w:t xml:space="preserve"> </w:t>
            </w:r>
            <w:r>
              <w:t xml:space="preserve">Cochrane CD004905, 2019</w:t>
            </w:r>
          </w:p>
        </w:tc>
        <w:tc>
          <w:tcPr/>
          <w:p>
            <w:pPr>
              <w:pStyle w:val="Compact"/>
            </w:pPr>
            <w:r>
              <w:t xml:space="preserve">The flagship MMS synthesis with GRADE ratings. High certainty for low birthweight (0.88), stillbirth (0.95, ns), perinatal mortality (1.00) and neonatal mortality (1.00)</w:t>
            </w:r>
          </w:p>
        </w:tc>
      </w:tr>
      <w:tr>
        <w:tc>
          <w:tcPr/>
          <w:p>
            <w:pPr>
              <w:pStyle w:val="Compact"/>
            </w:pPr>
            <w:r>
              <w:rPr>
                <w:b/>
                <w:bCs/>
              </w:rPr>
              <w:t xml:space="preserve">OMWaNA trial.</w:t>
            </w:r>
            <w:r>
              <w:t xml:space="preserve"> </w:t>
            </w:r>
            <w:r>
              <w:rPr>
                <w:i/>
                <w:iCs/>
              </w:rPr>
              <w:t xml:space="preserve">Lancet</w:t>
            </w:r>
            <w:r>
              <w:t xml:space="preserve"> </w:t>
            </w:r>
            <w:r>
              <w:t xml:space="preserve">2024, doi:10.1016/S0140-6736(24)00064-3</w:t>
            </w:r>
          </w:p>
        </w:tc>
        <w:tc>
          <w:tcPr/>
          <w:p>
            <w:pPr>
              <w:pStyle w:val="Compact"/>
            </w:pPr>
            <w:r>
              <w:t xml:space="preserve">Largest African KMC trial; null on its primary mortality endpoint</w:t>
            </w:r>
          </w:p>
        </w:tc>
      </w:tr>
      <w:tr>
        <w:tc>
          <w:tcPr/>
          <w:p>
            <w:pPr>
              <w:pStyle w:val="Compact"/>
            </w:pPr>
            <w:r>
              <w:rPr>
                <w:b/>
                <w:bCs/>
              </w:rPr>
              <w:t xml:space="preserve">Smith ER et al.</w:t>
            </w:r>
            <w:r>
              <w:t xml:space="preserve"> </w:t>
            </w:r>
            <w:r>
              <w:rPr>
                <w:i/>
                <w:iCs/>
              </w:rPr>
              <w:t xml:space="preserve">Lancet Glob Health</w:t>
            </w:r>
            <w:r>
              <w:t xml:space="preserve"> </w:t>
            </w:r>
            <w:r>
              <w:t xml:space="preserve">2017, PMID 29025632</w:t>
            </w:r>
          </w:p>
        </w:tc>
        <w:tc>
          <w:tcPr/>
          <w:p>
            <w:pPr>
              <w:pStyle w:val="Compact"/>
            </w:pPr>
            <w:r>
              <w:t xml:space="preserve">Individual-participant meta-analysis, 17 trials, 112,953 women. MMS’s advantage over iron-folic acid concentrates in</w:t>
            </w:r>
            <w:r>
              <w:t xml:space="preserve"> </w:t>
            </w:r>
            <w:r>
              <w:rPr>
                <w:b/>
                <w:bCs/>
              </w:rPr>
              <w:t xml:space="preserve">anaemic</w:t>
            </w:r>
            <w:r>
              <w:t xml:space="preserve"> </w:t>
            </w:r>
            <w:r>
              <w:t xml:space="preserve">and</w:t>
            </w:r>
            <w:r>
              <w:t xml:space="preserve"> </w:t>
            </w:r>
            <w:r>
              <w:rPr>
                <w:b/>
                <w:bCs/>
              </w:rPr>
              <w:t xml:space="preserve">underweight</w:t>
            </w:r>
            <w:r>
              <w:t xml:space="preserve"> </w:t>
            </w:r>
            <w:r>
              <w:t xml:space="preserve">women and in</w:t>
            </w:r>
            <w:r>
              <w:t xml:space="preserve"> </w:t>
            </w:r>
            <w:r>
              <w:rPr>
                <w:b/>
                <w:bCs/>
              </w:rPr>
              <w:t xml:space="preserve">female</w:t>
            </w:r>
            <w:r>
              <w:t xml:space="preserve"> </w:t>
            </w:r>
            <w:r>
              <w:t xml:space="preserve">infants — the targeting evidence for country selection</w:t>
            </w:r>
          </w:p>
        </w:tc>
      </w:tr>
      <w:tr>
        <w:tc>
          <w:tcPr/>
          <w:p>
            <w:pPr>
              <w:pStyle w:val="Compact"/>
            </w:pPr>
            <w:r>
              <w:rPr>
                <w:b/>
                <w:bCs/>
              </w:rPr>
              <w:t xml:space="preserve">Menon P et al.</w:t>
            </w:r>
            <w:r>
              <w:t xml:space="preserve"> </w:t>
            </w:r>
            <w:r>
              <w:rPr>
                <w:i/>
                <w:iCs/>
              </w:rPr>
              <w:t xml:space="preserve">PLoS Med</w:t>
            </w:r>
            <w:r>
              <w:t xml:space="preserve"> </w:t>
            </w:r>
            <w:r>
              <w:t xml:space="preserve">2016, PMID 27780198 (Alive &amp; Thrive)</w:t>
            </w:r>
          </w:p>
        </w:tc>
        <w:tc>
          <w:tcPr/>
          <w:p>
            <w:pPr>
              <w:pStyle w:val="Compact"/>
            </w:pPr>
            <w:r>
              <w:t xml:space="preserve">The strongest evidence that breastfeeding promotion can be delivered at national scale through government and mass media</w:t>
            </w:r>
          </w:p>
        </w:tc>
      </w:tr>
      <w:tr>
        <w:tc>
          <w:tcPr/>
          <w:p>
            <w:pPr>
              <w:pStyle w:val="Compact"/>
            </w:pPr>
            <w:r>
              <w:rPr>
                <w:b/>
                <w:bCs/>
              </w:rPr>
              <w:t xml:space="preserve">Daures M et al.</w:t>
            </w:r>
            <w:r>
              <w:t xml:space="preserve"> </w:t>
            </w:r>
            <w:r>
              <w:rPr>
                <w:i/>
                <w:iCs/>
              </w:rPr>
              <w:t xml:space="preserve">Am J Clin Nutr</w:t>
            </w:r>
            <w:r>
              <w:t xml:space="preserve"> </w:t>
            </w:r>
            <w:r>
              <w:t xml:space="preserve">2025, PMID 41043877 (OptiMA-Niger)</w:t>
            </w:r>
          </w:p>
        </w:tc>
        <w:tc>
          <w:tcPr/>
          <w:p>
            <w:pPr>
              <w:pStyle w:val="Compact"/>
            </w:pPr>
            <w:r>
              <w:t xml:space="preserve">First three-arm head-to-head of the two leading simplified protocols against a national standard</w:t>
            </w:r>
          </w:p>
        </w:tc>
      </w:tr>
      <w:tr>
        <w:tc>
          <w:tcPr/>
          <w:p>
            <w:pPr>
              <w:pStyle w:val="Compact"/>
            </w:pPr>
            <w:r>
              <w:rPr>
                <w:b/>
                <w:bCs/>
              </w:rPr>
              <w:t xml:space="preserve">Kangas ST et al.</w:t>
            </w:r>
            <w:r>
              <w:t xml:space="preserve"> </w:t>
            </w:r>
            <w:r>
              <w:rPr>
                <w:i/>
                <w:iCs/>
              </w:rPr>
              <w:t xml:space="preserve">PLoS Med</w:t>
            </w:r>
            <w:r>
              <w:t xml:space="preserve"> </w:t>
            </w:r>
            <w:r>
              <w:t xml:space="preserve">2019, PMID 31454351 (MANGO)</w:t>
            </w:r>
          </w:p>
        </w:tc>
        <w:tc>
          <w:tcPr/>
          <w:p>
            <w:pPr>
              <w:pStyle w:val="Compact"/>
            </w:pPr>
            <w:r>
              <w:t xml:space="preserve">Reduced-dose therapeutic food is non-inferior on weight gain but carries a small linear-growth penalty</w:t>
            </w:r>
          </w:p>
        </w:tc>
      </w:tr>
      <w:tr>
        <w:tc>
          <w:tcPr/>
          <w:p>
            <w:pPr>
              <w:pStyle w:val="Compact"/>
            </w:pPr>
            <w:r>
              <w:rPr>
                <w:b/>
                <w:bCs/>
              </w:rPr>
              <w:t xml:space="preserve">Olofin I et al.</w:t>
            </w:r>
            <w:r>
              <w:t xml:space="preserve"> </w:t>
            </w:r>
            <w:r>
              <w:rPr>
                <w:i/>
                <w:iCs/>
              </w:rPr>
              <w:t xml:space="preserve">PLoS One</w:t>
            </w:r>
            <w:r>
              <w:t xml:space="preserve"> </w:t>
            </w:r>
            <w:r>
              <w:t xml:space="preserve">2013, PMID 23734210</w:t>
            </w:r>
          </w:p>
        </w:tc>
        <w:tc>
          <w:tcPr/>
          <w:p>
            <w:pPr>
              <w:pStyle w:val="Compact"/>
            </w:pPr>
            <w:r>
              <w:t xml:space="preserve">Pooled cohort estimate of mortality risk in severe wasting (HR 11.63) — the counterfactual that justifies treatment, and the source of the parameters government modellers use</w:t>
            </w:r>
          </w:p>
        </w:tc>
      </w:tr>
      <w:tr>
        <w:tc>
          <w:tcPr/>
          <w:p>
            <w:pPr>
              <w:pStyle w:val="Compact"/>
            </w:pPr>
            <w:r>
              <w:rPr>
                <w:b/>
                <w:bCs/>
              </w:rPr>
              <w:t xml:space="preserve">Alé FGB et al.</w:t>
            </w:r>
            <w:r>
              <w:t xml:space="preserve"> </w:t>
            </w:r>
            <w:r>
              <w:rPr>
                <w:i/>
                <w:iCs/>
              </w:rPr>
              <w:t xml:space="preserve">Arch Public Health</w:t>
            </w:r>
            <w:r>
              <w:t xml:space="preserve"> </w:t>
            </w:r>
            <w:r>
              <w:t xml:space="preserve">2016, PMID 27602207</w:t>
            </w:r>
          </w:p>
        </w:tc>
        <w:tc>
          <w:tcPr/>
          <w:p>
            <w:pPr>
              <w:pStyle w:val="Compact"/>
            </w:pPr>
            <w:r>
              <w:t xml:space="preserve">Mother-led screening non-inferior to community health workers at ~40% of the cost</w:t>
            </w:r>
          </w:p>
        </w:tc>
      </w:tr>
      <w:tr>
        <w:tc>
          <w:tcPr/>
          <w:p>
            <w:pPr>
              <w:pStyle w:val="Compact"/>
            </w:pPr>
            <w:r>
              <w:rPr>
                <w:b/>
                <w:bCs/>
              </w:rPr>
              <w:t xml:space="preserve">Global Action Plan on Child Wasting</w:t>
            </w:r>
            <w:r>
              <w:t xml:space="preserve"> </w:t>
            </w:r>
            <w:r>
              <w:t xml:space="preserve">(UN agencies, 2020);</w:t>
            </w:r>
            <w:r>
              <w:t xml:space="preserve"> </w:t>
            </w:r>
            <w:r>
              <w:rPr>
                <w:b/>
                <w:bCs/>
              </w:rPr>
              <w:t xml:space="preserve">WHO/UNICEF global nutrition targets</w:t>
            </w:r>
            <w:r>
              <w:t xml:space="preserve"> </w:t>
            </w:r>
            <w:r>
              <w:t xml:space="preserve">(WHA78, 2025)</w:t>
            </w:r>
          </w:p>
        </w:tc>
        <w:tc>
          <w:tcPr/>
          <w:p>
            <w:pPr>
              <w:pStyle w:val="Compact"/>
            </w:pPr>
            <w:r>
              <w:t xml:space="preserve">Current coverage position and the official breastfeeding targets</w:t>
            </w:r>
          </w:p>
        </w:tc>
      </w:tr>
      <w:tr>
        <w:tc>
          <w:tcPr/>
          <w:p>
            <w:pPr>
              <w:pStyle w:val="Compact"/>
            </w:pPr>
            <w:r>
              <w:rPr>
                <w:b/>
                <w:bCs/>
              </w:rPr>
              <w:t xml:space="preserve">FANTA-2 review of CMAM integration into national health systems</w:t>
            </w:r>
            <w:r>
              <w:t xml:space="preserve"> </w:t>
            </w:r>
            <w:r>
              <w:t xml:space="preserve">(Ethiopia, Malawi, Niger)</w:t>
            </w:r>
          </w:p>
        </w:tc>
        <w:tc>
          <w:tcPr/>
          <w:p>
            <w:pPr>
              <w:pStyle w:val="Compact"/>
            </w:pPr>
            <w:r>
              <w:t xml:space="preserve">Evidence that national-scale government CMAM is not unique to Ethiopia</w:t>
            </w:r>
          </w:p>
        </w:tc>
      </w:tr>
    </w:tbl>
    <w:p>
      <w:pPr>
        <w:pStyle w:val="BodyText"/>
      </w:pPr>
      <w:r>
        <w:t xml:space="preserve">Three further sources are worth reading alongside this review though no number here rests on them: the</w:t>
      </w:r>
      <w:r>
        <w:t xml:space="preserve"> </w:t>
      </w:r>
      <w:r>
        <w:rPr>
          <w:i/>
          <w:iCs/>
        </w:rPr>
        <w:t xml:space="preserve">Lancet</w:t>
      </w:r>
      <w:r>
        <w:t xml:space="preserve"> </w:t>
      </w:r>
      <w:r>
        <w:t xml:space="preserve">2016 Breastfeeding Series (Victora et al.; Rollins et al.), the Cochrane review of ready-to-use therapeutic food (Schoonees et al., CD009000), and Isanaka et al.,</w:t>
      </w:r>
      <w:r>
        <w:t xml:space="preserve"> </w:t>
      </w:r>
      <w:r>
        <w:rPr>
          <w:i/>
          <w:iCs/>
        </w:rPr>
        <w:t xml:space="preserve">BMJ Glob Health</w:t>
      </w:r>
      <w:r>
        <w:t xml:space="preserve"> </w:t>
      </w:r>
      <w:r>
        <w:t xml:space="preserve">2021, which shows that global wasting-treatment coverage is routinely overstated because annual caseload is several times point prevalence.</w:t>
      </w:r>
    </w:p>
    <w:p>
      <w:r>
        <w:pict>
          <v:rect style="width:0;height:1.5pt" o:hralign="center" o:hrstd="t" o:hr="t"/>
        </w:pict>
      </w:r>
    </w:p>
    <w:bookmarkEnd w:id="17"/>
    <w:bookmarkStart w:id="18" w:name="how-far-to-trust-this"/>
    <w:p>
      <w:pPr>
        <w:pStyle w:val="Heading2"/>
      </w:pPr>
      <w:r>
        <w:t xml:space="preserve">8. How far to trust this</w:t>
      </w:r>
    </w:p>
    <w:p>
      <w:pPr>
        <w:pStyle w:val="FirstParagraph"/>
      </w:pPr>
      <w:r>
        <w:t xml:space="preserve">Every numeric claim not marked † traces to a specific record in an evidence database built only from the retrieved corpus, and an automated verifier checks each one against that record.</w:t>
      </w:r>
    </w:p>
    <w:p>
      <w:pPr>
        <w:pStyle w:val="BodyText"/>
      </w:pPr>
      <w:r>
        <w:t xml:space="preserve">That establishes</w:t>
      </w:r>
      <w:r>
        <w:t xml:space="preserve"> </w:t>
      </w:r>
      <w:r>
        <w:rPr>
          <w:b/>
          <w:bCs/>
        </w:rPr>
        <w:t xml:space="preserve">traceability</w:t>
      </w:r>
      <w:r>
        <w:t xml:space="preserve">: a number can be followed back to a source in the corpus. It does not establish that the source is correct, that a pooled estimate is well-constructed, that our interpretation is the only reasonable one, or — the failure mode worth naming — that the</w:t>
      </w:r>
      <w:r>
        <w:t xml:space="preserve"> </w:t>
      </w:r>
      <w:r>
        <w:rPr>
          <w:b/>
          <w:bCs/>
        </w:rPr>
        <w:t xml:space="preserve">population and comparator attached to a number survived the trip into prose</w:t>
      </w:r>
      <w:r>
        <w:t xml:space="preserve">. An effect measured in preterm infants can be transcribed accurately and still be described too broadly. Claims in this summary have been checked against their sources for that specifically.</w:t>
      </w:r>
    </w:p>
    <w:p>
      <w:pPr>
        <w:pStyle w:val="BodyText"/>
      </w:pPr>
      <w:r>
        <w:t xml:space="preserve">Two structural limits remain. Retrieval draws on PubMed and OpenAlex, so grey literature, government programme documentation and normative guidance are under-represented — which matters disproportionately for implementation questions, and is why §7 exists. And where several reviews pool overlapping trials, apparent corroboration can be partly illusory: the MMS stillbirth estimate in §1 is a case in point, appearing in two publications that draw on the same author group’s overlapping analysis, which is why it is presented here as contested rather than replicated.</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before="0" w:line="276" w:lineRule="auto"/>
    </w:pPr>
    <w:rPr>
      <w:rFonts w:ascii="Cambria" w:cs="Cambria" w:eastAsia="Cambria" w:hAnsi="Cambria"/>
      <w:color w:val="1A1A1A"/>
      <w:sz w:val="21"/>
      <w:szCs w:val="21"/>
    </w:rPr>
  </w:style>
  <w:style w:styleId="BodyText" w:type="paragraph">
    <w:name w:val="Body Text"/>
    <w:basedOn w:val="Normal"/>
    <w:link w:val="BodyTextChar"/>
    <w:qFormat/>
    <w:pPr>
      <w:spacing w:after="140" w:before="0" w:line="276" w:lineRule="auto"/>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120" w:before="0"/>
      <w:pBdr>
        <w:bottom w:color="12495B" w:space="6" w:sz="12" w:val="single"/>
      </w:pBdr>
    </w:pPr>
    <w:rPr>
      <w:rFonts w:ascii="Calibri" w:cs="Calibri" w:eastAsia="Calibri" w:hAnsi="Calibri"/>
      <w:b/>
      <w:color w:val="12495B"/>
      <w:sz w:val="52"/>
      <w:szCs w:val="52"/>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spacing w:after="240" w:before="0"/>
    </w:pPr>
    <w:rPr>
      <w:rFonts w:ascii="Calibri" w:cs="Calibri" w:eastAsia="Calibri" w:hAnsi="Calibri"/>
      <w:color w:val="1F6B7B"/>
      <w:sz w:val="26"/>
      <w:szCs w:val="2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420"/>
      <w:outlineLvl w:val="0"/>
    </w:pPr>
    <w:rPr>
      <w:rFonts w:ascii="Calibri" w:cs="Calibri" w:eastAsia="Calibri" w:hAnsi="Calibri"/>
      <w:b/>
      <w:color w:val="12495B"/>
      <w:sz w:val="34"/>
      <w:szCs w:val="34"/>
    </w:rPr>
  </w:style>
  <w:style w:styleId="Heading2" w:type="paragraph">
    <w:name w:val="heading 2"/>
    <w:basedOn w:val="Normal"/>
    <w:next w:val="BodyText"/>
    <w:link w:val="Heading2Char"/>
    <w:uiPriority w:val="9"/>
    <w:semiHidden/>
    <w:unhideWhenUsed/>
    <w:qFormat/>
    <w:rsid w:val="00A10FD9"/>
    <w:pPr>
      <w:keepNext/>
      <w:keepLines/>
      <w:spacing w:after="120" w:before="320"/>
      <w:outlineLvl w:val="1"/>
    </w:pPr>
    <w:rPr>
      <w:rFonts w:ascii="Calibri" w:cs="Calibri" w:eastAsia="Calibri" w:hAnsi="Calibri"/>
      <w:b/>
      <w:color w:val="1F6B7B"/>
      <w:sz w:val="27"/>
      <w:szCs w:val="27"/>
    </w:rPr>
  </w:style>
  <w:style w:styleId="Heading3" w:type="paragraph">
    <w:name w:val="heading 3"/>
    <w:basedOn w:val="Normal"/>
    <w:next w:val="BodyText"/>
    <w:link w:val="Heading3Char"/>
    <w:uiPriority w:val="9"/>
    <w:semiHidden/>
    <w:unhideWhenUsed/>
    <w:qFormat/>
    <w:rsid w:val="00A10FD9"/>
    <w:pPr>
      <w:keepNext/>
      <w:keepLines/>
      <w:spacing w:after="100" w:before="260"/>
      <w:outlineLvl w:val="2"/>
    </w:pPr>
    <w:rPr>
      <w:rFonts w:ascii="Calibri" w:cs="Calibri" w:eastAsia="Calibri" w:hAnsi="Calibri"/>
      <w:b/>
      <w:color w:val="3D4A52"/>
      <w:sz w:val="23"/>
      <w:szCs w:val="23"/>
    </w:rPr>
  </w:style>
  <w:style w:styleId="Heading4" w:type="paragraph">
    <w:name w:val="heading 4"/>
    <w:basedOn w:val="Normal"/>
    <w:next w:val="BodyText"/>
    <w:link w:val="Heading4Char"/>
    <w:uiPriority w:val="9"/>
    <w:semiHidden/>
    <w:unhideWhenUsed/>
    <w:qFormat/>
    <w:rsid w:val="00A10FD9"/>
    <w:pPr>
      <w:keepNext/>
      <w:keepLines/>
      <w:spacing w:after="90" w:before="220"/>
      <w:outlineLvl w:val="3"/>
    </w:pPr>
    <w:rPr>
      <w:rFonts w:ascii="Calibri" w:cs="Calibri" w:eastAsia="Calibri" w:hAnsi="Calibri"/>
      <w:b/>
      <w:color w:val="3D4A52"/>
      <w:sz w:val="21"/>
      <w:szCs w:val="2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pBdr>
        <w:top w:color="C9D6DB" w:space="8" w:sz="4" w:val="single"/>
        <w:left w:color="1F6B7B" w:space="10" w:sz="18" w:val="single"/>
        <w:bottom w:color="C9D6DB" w:space="8" w:sz="4" w:val="single"/>
        <w:right w:color="C9D6DB" w:space="8" w:sz="4" w:val="single"/>
      </w:pBdr>
      <w:shd w:color="auto" w:fill="F2F7F9" w:val="clear"/>
      <w:spacing w:after="160" w:before="160" w:line="264" w:lineRule="auto"/>
      <w:ind w:left="0" w:right="0"/>
    </w:pPr>
    <w:rPr>
      <w:rFonts w:ascii="Cambria" w:cs="Cambria" w:eastAsia="Cambria" w:hAnsi="Cambria"/>
      <w:color w:val="1A1A1A"/>
      <w:sz w:val="20"/>
      <w:szCs w:val="20"/>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Table" w:type="table">
    <w:name w:val="Table"/>
    <w:uiPriority w:val="99"/>
    <w:pPr>
      <w:spacing w:after="40" w:before="40" w:line="240" w:lineRule="auto"/>
    </w:pPr>
    <w:rPr>
      <w:rFonts w:ascii="Cambria" w:cs="Cambria" w:eastAsia="Cambria" w:hAnsi="Cambria"/>
      <w:sz w:val="19"/>
      <w:szCs w:val="19"/>
    </w:rPr>
    <w:tblPr>
      <w:tblBorders>
        <w:top w:color="C9D6DB" w:space="0" w:sz="4" w:val="single"/>
        <w:left w:color="C9D6DB" w:space="0" w:sz="4" w:val="single"/>
        <w:bottom w:color="C9D6DB" w:space="0" w:sz="4" w:val="single"/>
        <w:right w:color="C9D6DB" w:space="0" w:sz="4" w:val="single"/>
        <w:insideH w:color="C9D6DB" w:space="0" w:sz="4" w:val="single"/>
        <w:insideV w:color="C9D6DB" w:space="0" w:sz="4" w:val="single"/>
      </w:tblBorders>
      <w:tblCellMar>
        <w:top w:type="dxa" w:w="60"/>
        <w:left w:type="dxa" w:w="100"/>
        <w:bottom w:type="dxa" w:w="60"/>
        <w:right w:type="dxa" w:w="100"/>
      </w:tblCellMar>
    </w:tblPr>
    <w:tblStylePr w:type="firstRow">
      <w:rPr>
        <w:b/>
        <w:color w:val="12495B"/>
      </w:rPr>
      <w:tcPr>
        <w:shd w:color="auto" w:fill="E4EDF1"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Scaling High-Impact Nutrition Interventions — Summary</dc:title>
  <dc:creator/>
  <cp:keywords/>
  <dcterms:created xsi:type="dcterms:W3CDTF">2026-08-05T20:03:20Z</dcterms:created>
  <dcterms:modified xsi:type="dcterms:W3CDTF">2026-08-05T20:03:20Z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2026</vt:lpwstr>
  </property>
  <property fmtid="{D5CDD505-2E9C-101B-9397-08002B2CF9AE}" pid="3" name="subtitle">
    <vt:lpwstr>CMAM, Breastfeeding Support and Antenatal MMS: Evidence Review</vt:lpwstr>
  </property>
</Properties>
</file>