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 Reviews Compared</w:t>
      </w:r>
    </w:p>
    <w:p>
      <w:pPr>
        <w:pStyle w:val="Subtitle"/>
      </w:pPr>
      <w:r>
        <w:t xml:space="preserve">Pipeline deep-dive vs independent review — convergence, conflict, and a proposed spine for the CARE summary</w:t>
      </w:r>
    </w:p>
    <w:p>
      <w:pPr>
        <w:pStyle w:val="Date"/>
      </w:pPr>
      <w:r>
        <w:t xml:space="preserve">August 2026</w:t>
      </w:r>
    </w:p>
    <w:bookmarkStart w:id="9" w:name="bottom-line"/>
    <w:p>
      <w:pPr>
        <w:pStyle w:val="Heading1"/>
      </w:pPr>
      <w:r>
        <w:t xml:space="preserve">1. Bottom line</w:t>
      </w:r>
    </w:p>
    <w:p>
      <w:pPr>
        <w:pStyle w:val="FirstParagraph"/>
      </w:pPr>
      <w:r>
        <w:t xml:space="preserve">The two reviews were produced by genuinely different methods — a 648-record automated pipeline over PubMed and OpenAlex, and a narrow hand-verified review of ~30 primary sources plus guidelines, cost studies and burden datasets. They</w:t>
      </w:r>
      <w:r>
        <w:t xml:space="preserve"> </w:t>
      </w:r>
      <w:r>
        <w:rPr>
          <w:b/>
          <w:bCs/>
        </w:rPr>
        <w:t xml:space="preserve">agree on more than they disagree on</w:t>
      </w:r>
      <w:r>
        <w:t xml:space="preserve">, which is worth something: convergence between methods that share no retrieval path is a stronger signal than either alone.</w:t>
      </w:r>
    </w:p>
    <w:p>
      <w:pPr>
        <w:pStyle w:val="BodyText"/>
      </w:pPr>
      <w:r>
        <w:t xml:space="preserve">Where they differ, the pattern is consistent and explainable: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deep-dive is better on implementation texture.</w:t>
      </w:r>
      <w:r>
        <w:t xml:space="preserve"> </w:t>
      </w:r>
      <w:r>
        <w:t xml:space="preserve">It has country platform detail, procurement failure points, incentive distortions, case-finding-versus-conversion, and a combination analysis that no hand-built review could reproduce. This is the material CARE actually needs to design something.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independent review is better on evidence quality control, normative status, cost and targeting.</w:t>
      </w:r>
      <w:r>
        <w:t xml:space="preserve"> </w:t>
      </w:r>
      <w:r>
        <w:t xml:space="preserve">It corrects several effect-size framings, adds the WHO 2023 wasting guideline and the Cochrane MMS review, supplies cost-per-DALY, and grounds geography in burden data rather than research volume.</w:t>
      </w:r>
    </w:p>
    <w:p>
      <w:pPr>
        <w:pStyle w:val="FirstParagraph"/>
      </w:pPr>
      <w:r>
        <w:rPr>
          <w:b/>
          <w:bCs/>
        </w:rPr>
        <w:t xml:space="preserve">Neither is the right document to send CARE on its own.</w:t>
      </w:r>
      <w:r>
        <w:t xml:space="preserve"> </w:t>
      </w:r>
      <w:r>
        <w:t xml:space="preserve">The combined summary should take the deep-dive’s implementation spine and the independent review’s numbers, costs and targeting.</w:t>
      </w:r>
    </w:p>
    <w:p>
      <w:r>
        <w:pict>
          <v:rect style="width:0;height:1.5pt" o:hralign="center" o:hrstd="t" o:hr="t"/>
        </w:pict>
      </w:r>
    </w:p>
    <w:bookmarkEnd w:id="9"/>
    <w:bookmarkStart w:id="10" w:name="where-they-converge"/>
    <w:p>
      <w:pPr>
        <w:pStyle w:val="Heading1"/>
      </w:pPr>
      <w:r>
        <w:t xml:space="preserve">2. Where they converge</w:t>
      </w:r>
    </w:p>
    <w:p>
      <w:pPr>
        <w:pStyle w:val="FirstParagraph"/>
      </w:pPr>
      <w:r>
        <w:t xml:space="preserve">These findings appear in both, derived independently. They are the safest things to put in front of partners.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Both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binding constraint is coverage and adherence, not efficacy</w:t>
            </w:r>
          </w:p>
        </w:tc>
        <w:tc>
          <w:tcPr/>
          <w:p>
            <w:pPr>
              <w:pStyle w:val="Compact"/>
            </w:pPr>
            <w:r>
              <w:t xml:space="preserve">Central organising claim 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CMAM has no trial against no treatment</w:t>
            </w:r>
          </w:p>
        </w:tc>
        <w:tc>
          <w:tcPr/>
          <w:p>
            <w:pPr>
              <w:pStyle w:val="Compact"/>
            </w:pPr>
            <w:r>
              <w:t xml:space="preserve">Both flag the active-control ceiling and that it understates the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Relapse is high and under-recognised</w:t>
            </w:r>
          </w:p>
        </w:tc>
        <w:tc>
          <w:tcPr/>
          <w:p>
            <w:pPr>
              <w:pStyle w:val="Compact"/>
            </w:pPr>
            <w:r>
              <w:t xml:space="preserve">Both cite the same multi-country cohort: 22–63% within six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Simplified protocols cut commodity use substantially</w:t>
            </w:r>
          </w:p>
        </w:tc>
        <w:tc>
          <w:tcPr/>
          <w:p>
            <w:pPr>
              <w:pStyle w:val="Compact"/>
            </w:pPr>
            <w:r>
              <w:t xml:space="preserve">Both: OptiMA ~46% less RUTF while holding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Reducing RUTF dairy content worsens recovery</w:t>
            </w:r>
          </w:p>
        </w:tc>
        <w:tc>
          <w:tcPr/>
          <w:p>
            <w:pPr>
              <w:pStyle w:val="Compact"/>
            </w:pPr>
            <w:r>
              <w:t xml:space="preserve">Both, and both note it is the obvious cost saving the evidence rules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Treatment coverage is roughly one case in three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Facility and community breastfeeding packages are complements, not alternatives</w:t>
            </w:r>
          </w:p>
        </w:tc>
        <w:tc>
          <w:tcPr/>
          <w:p>
            <w:pPr>
              <w:pStyle w:val="Compact"/>
            </w:pPr>
            <w:r>
              <w:t xml:space="preserve">Both, with the same reasoning about different moments and different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MMS improves birth outcomes; perinatal mortality is null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MMS is operationally the most tractable — the channel already exists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WHO’s research-only stance on MMS is a real barrier to national adoption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trial combines the three interventions with each other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transfers added to wasting treatment improve recovery and cut relapse</w:t>
            </w:r>
          </w:p>
        </w:tc>
        <w:tc>
          <w:tcPr/>
          <w:p>
            <w:pPr>
              <w:pStyle w:val="Compact"/>
            </w:pPr>
            <w:r>
              <w:t xml:space="preserve">Both (independent review adds that WHO 2023 now recommends this)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chain and stock-outs are a documented failure point for supplements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here-they-conflict"/>
    <w:p>
      <w:pPr>
        <w:pStyle w:val="Heading1"/>
      </w:pPr>
      <w:r>
        <w:t xml:space="preserve">3. Where they conflict</w:t>
      </w:r>
    </w:p>
    <w:p>
      <w:pPr>
        <w:pStyle w:val="FirstParagraph"/>
      </w:pPr>
      <w:r>
        <w:t xml:space="preserve">Adjudicated. In every case below I verified the primary source 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Deep-dive</w:t>
            </w:r>
          </w:p>
        </w:tc>
        <w:tc>
          <w:tcPr/>
          <w:p>
            <w:pPr>
              <w:pStyle w:val="Compact"/>
            </w:pPr>
            <w:r>
              <w:t xml:space="preserve">Independent review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KMC population</w:t>
            </w:r>
          </w:p>
        </w:tc>
        <w:tc>
          <w:tcPr/>
          <w:p>
            <w:pPr>
              <w:pStyle w:val="Compact"/>
            </w:pPr>
            <w:r>
              <w:t xml:space="preserve">“the newborn”</w:t>
            </w:r>
            <w:r>
              <w:t xml:space="preserve">; glossary defines it as universal</w:t>
            </w:r>
          </w:p>
        </w:tc>
        <w:tc>
          <w:tcPr/>
          <w:p>
            <w:pPr>
              <w:pStyle w:val="Compact"/>
            </w:pPr>
            <w:r>
              <w:t xml:space="preserve">Preterm or low-birth-weight infants only; the WHO trial enrolled 1.0–1.799 kg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The source is titled</w:t>
            </w:r>
            <w:r>
              <w:t xml:space="preserve"> </w:t>
            </w:r>
            <w:r>
              <w:rPr>
                <w:i/>
                <w:iCs/>
              </w:rPr>
              <w:t xml:space="preserve">“Kangaroo mother care for preterm or low birth weight infants.”</w:t>
            </w:r>
            <w:r>
              <w:t xml:space="preserve"> </w:t>
            </w:r>
            <w:r>
              <w:t xml:space="preserve">This inflates the eligible population roughly sevenfold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KMC precision</w:t>
            </w:r>
          </w:p>
        </w:tc>
        <w:tc>
          <w:tcPr/>
          <w:p>
            <w:pPr>
              <w:pStyle w:val="Compact"/>
            </w:pPr>
            <w:r>
              <w:t xml:space="preserve">RR 0.68 (0.53–</w:t>
            </w:r>
            <w:r>
              <w:rPr>
                <w:b/>
                <w:bCs/>
              </w:rPr>
              <w:t xml:space="preserve">0.87</w:t>
            </w:r>
            <w:r>
              <w:t xml:space="preserve">), 12 studies</w:t>
            </w:r>
          </w:p>
        </w:tc>
        <w:tc>
          <w:tcPr/>
          <w:p>
            <w:pPr>
              <w:pStyle w:val="Compact"/>
            </w:pPr>
            <w:r>
              <w:t xml:space="preserve">RR 0.68 (0.53–</w:t>
            </w:r>
            <w:r>
              <w:rPr>
                <w:b/>
                <w:bCs/>
              </w:rPr>
              <w:t xml:space="preserve">0.86</w:t>
            </w:r>
            <w:r>
              <w:t xml:space="preserve">), 11 trials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KMC uniqueness</w:t>
            </w:r>
          </w:p>
        </w:tc>
        <w:tc>
          <w:tcPr/>
          <w:p>
            <w:pPr>
              <w:pStyle w:val="Compact"/>
            </w:pPr>
            <w:r>
              <w:t xml:space="preserve">“the only finding carrying a formal high-certainty rating”</w:t>
            </w:r>
          </w:p>
        </w:tc>
        <w:tc>
          <w:tcPr/>
          <w:p>
            <w:pPr>
              <w:pStyle w:val="Compact"/>
            </w:pPr>
            <w:r>
              <w:t xml:space="preserve">Cochrane rates four MMS outcomes high-certainty, including a benefit on low birthweight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Correct claim is</w:t>
            </w:r>
            <w:r>
              <w:t xml:space="preserve"> </w:t>
            </w:r>
            <w:r>
              <w:t xml:space="preserve">“only high-certainty</w:t>
            </w:r>
            <w:r>
              <w:t xml:space="preserve"> </w:t>
            </w:r>
            <w:r>
              <w:rPr>
                <w:i/>
                <w:iCs/>
              </w:rPr>
              <w:t xml:space="preserve">mortality</w:t>
            </w:r>
            <w:r>
              <w:t xml:space="preserve"> </w:t>
            </w:r>
            <w:r>
              <w:t xml:space="preserve">benefit”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KMC replication</w:t>
            </w:r>
          </w:p>
        </w:tc>
        <w:tc>
          <w:tcPr/>
          <w:p>
            <w:pPr>
              <w:pStyle w:val="Compact"/>
            </w:pPr>
            <w:r>
              <w:t xml:space="preserve">Anchored on the WHO immediate-KMC trial</w:t>
            </w:r>
          </w:p>
        </w:tc>
        <w:tc>
          <w:tcPr/>
          <w:p>
            <w:pPr>
              <w:pStyle w:val="Compact"/>
            </w:pPr>
            <w:r>
              <w:t xml:space="preserve">Adds OMWaNA (Uganda, 2,221 neonates): null on its primary mortality 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adds.</w:t>
            </w:r>
            <w:r>
              <w:t xml:space="preserve"> </w:t>
            </w:r>
            <w:r>
              <w:t xml:space="preserve">Materially qualifies the strongest claim in either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MMS and stillbirth</w:t>
            </w:r>
          </w:p>
        </w:tc>
        <w:tc>
          <w:tcPr/>
          <w:p>
            <w:pPr>
              <w:pStyle w:val="Compact"/>
            </w:pPr>
            <w:r>
              <w:t xml:space="preserve">Reduced ~9%,</w:t>
            </w:r>
            <w:r>
              <w:t xml:space="preserve"> </w:t>
            </w:r>
            <w:r>
              <w:t xml:space="preserve">“four of five independent syntheses”</w:t>
            </w:r>
          </w:p>
        </w:tc>
        <w:tc>
          <w:tcPr/>
          <w:p>
            <w:pPr>
              <w:pStyle w:val="Compact"/>
            </w:pPr>
            <w:r>
              <w:t xml:space="preserve">Contested: Cochrane 0.95 (0.86–1.04)</w:t>
            </w:r>
            <w:r>
              <w:t xml:space="preserve"> </w:t>
            </w:r>
            <w:r>
              <w:rPr>
                <w:b/>
                <w:bCs/>
              </w:rPr>
              <w:t xml:space="preserve">high certainty</w:t>
            </w:r>
            <w:r>
              <w:t xml:space="preserve">, null; independent 2023 synthesis agrees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Two of the</w:t>
            </w:r>
            <w:r>
              <w:t xml:space="preserve"> </w:t>
            </w:r>
            <w:r>
              <w:t xml:space="preserve">“five”</w:t>
            </w:r>
            <w:r>
              <w:t xml:space="preserve"> </w:t>
            </w:r>
            <w:r>
              <w:t xml:space="preserve">are the same author group’s overlapping analysis published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CMAM counterfactual</w:t>
            </w:r>
          </w:p>
        </w:tc>
        <w:tc>
          <w:tcPr/>
          <w:p>
            <w:pPr>
              <w:pStyle w:val="Compact"/>
            </w:pPr>
            <w:r>
              <w:t xml:space="preserve">“~11% case fatality”</w:t>
            </w:r>
          </w:p>
        </w:tc>
        <w:tc>
          <w:tcPr/>
          <w:p>
            <w:pPr>
              <w:pStyle w:val="Compact"/>
            </w:pPr>
            <w:r>
              <w:t xml:space="preserve">Olofin: severe wasting HR</w:t>
            </w:r>
            <w:r>
              <w:t xml:space="preserve"> </w:t>
            </w:r>
            <w:r>
              <w:rPr>
                <w:b/>
                <w:bCs/>
              </w:rPr>
              <w:t xml:space="preserve">11.63</w:t>
            </w:r>
            <w:r>
              <w:t xml:space="preserve"> </w:t>
            </w:r>
            <w:r>
              <w:t xml:space="preserve">vs non-wasted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The 11% is mortality</w:t>
            </w:r>
            <w:r>
              <w:t xml:space="preserve"> </w:t>
            </w:r>
            <w:r>
              <w:rPr>
                <w:i/>
                <w:iCs/>
              </w:rPr>
              <w:t xml:space="preserve">among treated</w:t>
            </w:r>
            <w:r>
              <w:t xml:space="preserve"> </w:t>
            </w:r>
            <w:r>
              <w:t xml:space="preserve">children, mostly inpatient — it is the outcome with treatment, used as if it were without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Simplified protocols</w:t>
            </w:r>
          </w:p>
        </w:tc>
        <w:tc>
          <w:tcPr/>
          <w:p>
            <w:pPr>
              <w:pStyle w:val="Compact"/>
            </w:pPr>
            <w:r>
              <w:t xml:space="preserve">Efficiency win, non-inferiority holds</w:t>
            </w:r>
          </w:p>
        </w:tc>
        <w:tc>
          <w:tcPr/>
          <w:p>
            <w:pPr>
              <w:pStyle w:val="Compact"/>
            </w:pPr>
            <w:r>
              <w:t xml:space="preserve">Adds OptiMA-Niger 2025 (standard protocol</w:t>
            </w:r>
            <w:r>
              <w:t xml:space="preserve"> </w:t>
            </w:r>
            <w:r>
              <w:rPr>
                <w:b/>
                <w:bCs/>
              </w:rPr>
              <w:t xml:space="preserve">superior</w:t>
            </w:r>
            <w:r>
              <w:t xml:space="preserve"> </w:t>
            </w:r>
            <w:r>
              <w:t xml:space="preserve">in the 1,140 most severely wasted) and MANGO’s linear-growth penalty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adds.</w:t>
            </w:r>
            <w:r>
              <w:t xml:space="preserve"> </w:t>
            </w:r>
            <w:r>
              <w:t xml:space="preserve">The deep-dive is one trial generation out of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CHW lever</w:t>
            </w:r>
          </w:p>
        </w:tc>
        <w:tc>
          <w:tcPr/>
          <w:p>
            <w:pPr>
              <w:pStyle w:val="Compact"/>
            </w:pPr>
            <w:r>
              <w:t xml:space="preserve">“The one lever that recurs”</w:t>
            </w:r>
            <w:r>
              <w:t xml:space="preserve"> </w:t>
            </w:r>
            <w:r>
              <w:t xml:space="preserve">— central transferable finding</w:t>
            </w:r>
          </w:p>
        </w:tc>
        <w:tc>
          <w:tcPr/>
          <w:p>
            <w:pPr>
              <w:pStyle w:val="Compact"/>
            </w:pPr>
            <w:r>
              <w:t xml:space="preserve">Cochrane found</w:t>
            </w:r>
            <w:r>
              <w:t xml:space="preserve"> </w:t>
            </w:r>
            <w:r>
              <w:rPr>
                <w:b/>
                <w:bCs/>
              </w:rPr>
              <w:t xml:space="preserve">no cadre effect</w:t>
            </w:r>
            <w:r>
              <w:t xml:space="preserve"> </w:t>
            </w:r>
            <w:r>
              <w:t xml:space="preserve">for breastfeeding; home-visit benefit tracks the package (visits alone RR 0.97); facility adherence 47.3% &gt; community 37.2%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What transfers is CMAM</w:t>
            </w:r>
            <w:r>
              <w:t xml:space="preserve"> </w:t>
            </w:r>
            <w:r>
              <w:rPr>
                <w:i/>
                <w:iCs/>
              </w:rPr>
              <w:t xml:space="preserve">treatment</w:t>
            </w:r>
            <w:r>
              <w:t xml:space="preserve"> </w:t>
            </w:r>
            <w:r>
              <w:t xml:space="preserve">decentralisation raising coverage — a CMAM finding, not a cross-cutting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Ethiopia recovery trend</w:t>
            </w:r>
          </w:p>
        </w:tc>
        <w:tc>
          <w:tcPr/>
          <w:p>
            <w:pPr>
              <w:pStyle w:val="Compact"/>
            </w:pPr>
            <w:r>
              <w:t xml:space="preserve">“Recovery fell as the programme matured, 72%→69%”</w:t>
            </w:r>
          </w:p>
        </w:tc>
        <w:tc>
          <w:tcPr/>
          <w:p>
            <w:pPr>
              <w:pStyle w:val="Compact"/>
            </w:pPr>
            <w:r>
              <w:t xml:space="preserve">A subgroup split by</w:t>
            </w:r>
            <w:r>
              <w:t xml:space="preserve"> </w:t>
            </w:r>
            <w:r>
              <w:rPr>
                <w:b/>
                <w:bCs/>
              </w:rPr>
              <w:t xml:space="preserve">publication year</w:t>
            </w:r>
            <w:r>
              <w:t xml:space="preserve"> </w:t>
            </w:r>
            <w:r>
              <w:t xml:space="preserve">of 19 studies, CIs overlapping almost entirely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Not a time series; no demonstrable 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Breastfeeding target</w:t>
            </w:r>
          </w:p>
        </w:tc>
        <w:tc>
          <w:tcPr/>
          <w:p>
            <w:pPr>
              <w:pStyle w:val="Compact"/>
            </w:pPr>
            <w:r>
              <w:t xml:space="preserve">“below the 70% global target”</w:t>
            </w:r>
          </w:p>
        </w:tc>
        <w:tc>
          <w:tcPr/>
          <w:p>
            <w:pPr>
              <w:pStyle w:val="Compact"/>
            </w:pPr>
            <w:r>
              <w:t xml:space="preserve">WHA target is</w:t>
            </w:r>
            <w:r>
              <w:t xml:space="preserve"> </w:t>
            </w:r>
            <w:r>
              <w:rPr>
                <w:b/>
                <w:bCs/>
              </w:rPr>
              <w:t xml:space="preserve">60% by 2030</w:t>
            </w:r>
            <w:r>
              <w:t xml:space="preserve"> </w:t>
            </w:r>
            <w:r>
              <w:t xml:space="preserve">(raised from 50% by 2025 at WHA78); 70% is the Collective’s</w:t>
            </w:r>
            <w:r>
              <w:t xml:space="preserve"> </w:t>
            </w:r>
            <w:r>
              <w:rPr>
                <w:i/>
                <w:iCs/>
              </w:rPr>
              <w:t xml:space="preserve">early initiation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Wrong number and wrong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West Africa coverage</w:t>
            </w:r>
          </w:p>
        </w:tc>
        <w:tc>
          <w:tcPr/>
          <w:p>
            <w:pPr>
              <w:pStyle w:val="Compact"/>
            </w:pPr>
            <w:r>
              <w:t xml:space="preserve">EBF 36.5%, early initiation 48.7%</w:t>
            </w:r>
          </w:p>
        </w:tc>
        <w:tc>
          <w:tcPr/>
          <w:p>
            <w:pPr>
              <w:pStyle w:val="Compact"/>
            </w:pPr>
            <w:r>
              <w:t xml:space="preserve">Source reports Anglophone 41.2% / Francophone 30.1%, and 51.7% / 45.5% — no combined figure 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The deep-dive figures are unweighted means the authors never 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Excluded by design</w:t>
            </w:r>
          </w:p>
        </w:tc>
        <w:tc>
          <w:tcPr/>
          <w:p>
            <w:pPr>
              <w:pStyle w:val="Compact"/>
            </w:pPr>
            <w:r>
              <w:t xml:space="preserve">CMAM $26–42/DALY; MMS $21–42/DALY; MMS marginal commodity cost ~$0.005/tablet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— deliberate scope difference, not 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Country evidence volume, explicitly labelled research attention</w:t>
            </w:r>
          </w:p>
        </w:tc>
        <w:tc>
          <w:tcPr/>
          <w:p>
            <w:pPr>
              <w:pStyle w:val="Compact"/>
            </w:pPr>
            <w:r>
              <w:t xml:space="preserve">Burden-based targeting from JME and WHO GHO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questions.</w:t>
            </w:r>
            <w:r>
              <w:t xml:space="preserve"> </w:t>
            </w:r>
            <w:r>
              <w:t xml:space="preserve">Both belong in the combined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2023 wasting guideline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Central: CHW delivery is</w:t>
            </w:r>
            <w:r>
              <w:t xml:space="preserve"> </w:t>
            </w:r>
            <w:r>
              <w:rPr>
                <w:i/>
                <w:iCs/>
              </w:rPr>
              <w:t xml:space="preserve">conditional, very low certainty</w:t>
            </w:r>
            <w:r>
              <w:t xml:space="preserve">; weight-based dosing and dual exit criteria retained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Independent.</w:t>
            </w:r>
            <w:r>
              <w:t xml:space="preserve"> </w:t>
            </w:r>
            <w:r>
              <w:t xml:space="preserve">This is what determines what a ministry can adopt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what-each-has-that-the-other-lacks"/>
    <w:p>
      <w:pPr>
        <w:pStyle w:val="Heading1"/>
      </w:pPr>
      <w:r>
        <w:t xml:space="preserve">4. What each has that the other lacks</w:t>
      </w:r>
    </w:p>
    <w:bookmarkStart w:id="12" w:name="X746e0c6e772b952577425a09e099bf00d0070ca"/>
    <w:p>
      <w:pPr>
        <w:pStyle w:val="Heading2"/>
      </w:pPr>
      <w:r>
        <w:t xml:space="preserve">4.1 Only in the deep-dive — and worth carrying forward</w:t>
      </w:r>
    </w:p>
    <w:p>
      <w:pPr>
        <w:pStyle w:val="FirstParagraph"/>
      </w:pPr>
      <w:r>
        <w:t xml:space="preserve">This is the material that makes a co-design document useful rather than merely correct.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Case-finding versus conversion to treatment, decomposed.</w:t>
      </w:r>
      <w:r>
        <w:t xml:space="preserve"> </w:t>
      </w:r>
      <w:r>
        <w:t xml:space="preserve">Burundi: clinic-based systematic screening enrolled 98% of detected cases against 8% for community mass screening. Mali: screening coverage +40 points while treatment coverage stayed at 7.6%.</w:t>
      </w:r>
      <w:r>
        <w:t xml:space="preserve"> </w:t>
      </w:r>
      <w:r>
        <w:rPr>
          <w:i/>
          <w:iCs/>
        </w:rPr>
        <w:t xml:space="preserve">This is the single best original framing in either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Country platform descriptions with operational specifics</w:t>
      </w:r>
      <w:r>
        <w:t xml:space="preserve"> </w:t>
      </w:r>
      <w:r>
        <w:t xml:space="preserve">— Ethiopia’s ~40,000 salaried Health Extension Workers plus the Women’s Development Army; Nepal’s 50,000+ Female Community Health Volunteers; Pakistan’s Lady Health Workers covering ~60% of the population; India’s ASHA/Anganwadi/ANM convergence at Village Health and Nutrition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Procurement failure points, named.</w:t>
      </w:r>
      <w:r>
        <w:t xml:space="preserve"> </w:t>
      </w:r>
      <w:r>
        <w:t xml:space="preserve">Six of eight Indian facilities with insufficient IFA stock; 14 of 24 Nepali facilities out of stock in a nationwide shortage; Pakistan’s quota-based rather than demand-based supply to Lady Health Workers.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Incentive distortion as a mechanism.</w:t>
      </w:r>
      <w:r>
        <w:t xml:space="preserve"> </w:t>
      </w:r>
      <w:r>
        <w:t xml:space="preserve">~Rs.600 per referred institutional delivery skews ASHA effort toward incentivised tasks and away from counselling and home visits; irregular payment damages community 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Sustainability after donor exit.</w:t>
      </w:r>
      <w:r>
        <w:t xml:space="preserve"> </w:t>
      </w:r>
      <w:r>
        <w:t xml:space="preserve">Kenya’s Baby-Friendly Community Initiative: coverage declined once donor funding ended, with absent county budget lines and unpaid volunteer status as the named threats.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WHO technical correction on MMS safety.</w:t>
      </w:r>
      <w:r>
        <w:t xml:space="preserve"> </w:t>
      </w:r>
      <w:r>
        <w:t xml:space="preserve">The old</w:t>
      </w:r>
      <w:r>
        <w:t xml:space="preserve"> </w:t>
      </w:r>
      <w:r>
        <w:t xml:space="preserve">“MMS raises neonatal mortality where births are at home”</w:t>
      </w:r>
      <w:r>
        <w:t xml:space="preserve"> </w:t>
      </w:r>
      <w:r>
        <w:t xml:space="preserve">signal was overturned — corrected RR 1.05 (0.85–1.30) against an original 1.22 (0.95–1.57) — and the residual attributed to</w:t>
      </w:r>
      <w:r>
        <w:t xml:space="preserve"> </w:t>
      </w:r>
      <w:r>
        <w:rPr>
          <w:b/>
          <w:bCs/>
        </w:rPr>
        <w:t xml:space="preserve">iron dose</w:t>
      </w:r>
      <w:r>
        <w:t xml:space="preserve">, producing a concrete design rule: choose an MMS formulation whose iron dose matches current practice.</w:t>
      </w:r>
      <w:r>
        <w:t xml:space="preserve"> </w:t>
      </w:r>
      <w:r>
        <w:rPr>
          <w:i/>
          <w:iCs/>
        </w:rPr>
        <w:t xml:space="preserve">Neither trivial nor widely known; the independent review missed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combination analysis.</w:t>
      </w:r>
      <w:r>
        <w:t xml:space="preserve"> </w:t>
      </w:r>
      <w:r>
        <w:t xml:space="preserve">Of 648 on-topic records, 173 discuss combining interventions and</w:t>
      </w:r>
      <w:r>
        <w:t xml:space="preserve"> </w:t>
      </w:r>
      <w:r>
        <w:rPr>
          <w:b/>
          <w:bCs/>
        </w:rPr>
        <w:t xml:space="preserve">nine actually test one</w:t>
      </w:r>
      <w:r>
        <w:t xml:space="preserve">. A hand-built review cannot produce this number.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Bangladesh adherence drop-off.</w:t>
      </w:r>
      <w:r>
        <w:t xml:space="preserve"> </w:t>
      </w:r>
      <w:r>
        <w:t xml:space="preserve">The largest coverage loss — 61 percentage points — occurs not at antenatal attendance or IFA receipt but between receiving any IFA and consuming the recommended 180 tablets.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Health-system strengthening for early initiation</w:t>
      </w:r>
      <w:r>
        <w:t xml:space="preserve">, RR 2.76 (1.96–3.88) in South Asia, against RR 1.48 for behavioural interventions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CHW diagnostic quality</w:t>
      </w:r>
      <w:r>
        <w:t xml:space="preserve"> </w:t>
      </w:r>
      <w:r>
        <w:t xml:space="preserve">— 75–97% correct MUAC diagnosis with supervision — and integration into iCCM.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Twin-publication detection.</w:t>
      </w:r>
      <w:r>
        <w:t xml:space="preserve"> </w:t>
      </w:r>
      <w:r>
        <w:t xml:space="preserve">The pipeline caught one 42-study evidence base published twice in the CMAM chapter.</w:t>
      </w:r>
    </w:p>
    <w:p>
      <w:pPr>
        <w:pStyle w:val="FirstParagraph"/>
      </w:pPr>
      <w:r>
        <w:rPr>
          <w:b/>
          <w:bCs/>
        </w:rPr>
        <w:t xml:space="preserve">Caveat before reuse:</w:t>
      </w:r>
      <w:r>
        <w:t xml:space="preserve"> </w:t>
      </w:r>
      <w:r>
        <w:t xml:space="preserve">these claims passed the pipeline’s verifier, which checks traceability to a corpus record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whether the population, comparator or certainty survived into prose — the failure mode behind conflicts 1, 6 and 9. Before any of them goes into a CARE-facing document I would spot-verify the load-bearing ones at source. I would prioritise the Burundi 98%/8% figures, the WHO technical correction, the RR 2.76, and the Bangladesh 61-point drop-off.</w:t>
      </w:r>
    </w:p>
    <w:bookmarkEnd w:id="12"/>
    <w:bookmarkStart w:id="13" w:name="only-in-the-independent-review"/>
    <w:p>
      <w:pPr>
        <w:pStyle w:val="Heading2"/>
      </w:pPr>
      <w:r>
        <w:t xml:space="preserve">4.2 Only in the independent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throughout</w:t>
      </w:r>
      <w:r>
        <w:t xml:space="preserve"> </w:t>
      </w:r>
      <w:r>
        <w:t xml:space="preserve">— CMAM $26–42/DALY (Bangladesh, Malawi), Ethiopia community care roughly 2× more cost-effective than inpatient, ComPAS $918 vs $1,041 per child recovered, Pakistan’s counter-case where community delivery cost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per child recovered; MMS $21–42/DALY with a marginal commodity cost of about half a US cent per tablet.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Burden-based targeting.</w:t>
      </w:r>
      <w:r>
        <w:t xml:space="preserve"> </w:t>
      </w:r>
      <w:r>
        <w:t xml:space="preserve">Low birthweight is genuinely concentrated in South Asia (24.8% vs 13.9%) and holds country by country; wasting does not — the South Asian figure is essentially India (18.7%), while sub-Saharan Africa’s 5.9% average conceals Niger, Chad, Burkina Faso and Sudan at roughly double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2023 wasting guideline</w:t>
      </w:r>
      <w:r>
        <w:t xml:space="preserve"> </w:t>
      </w:r>
      <w:r>
        <w:t xml:space="preserve">and its recommendation-by-recommendation strength and certainty.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Cochrane reviews the pipeline did not retrieve</w:t>
      </w:r>
      <w:r>
        <w:t xml:space="preserve"> </w:t>
      </w:r>
      <w:r>
        <w:t xml:space="preserve">— MMS (CD004905) and RUTF (CD009000).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untreated counterfactual</w:t>
      </w:r>
      <w:r>
        <w:t xml:space="preserve"> </w:t>
      </w:r>
      <w:r>
        <w:t xml:space="preserve">(Olofin, HR 11.63) — the number that carries a finance-ministry conversation.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Newest protocol evidence</w:t>
      </w:r>
      <w:r>
        <w:t xml:space="preserve"> </w:t>
      </w:r>
      <w:r>
        <w:t xml:space="preserve">— OptiMA-Niger 2025, MANGO.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KMC replication picture</w:t>
      </w:r>
      <w:r>
        <w:t xml:space="preserve"> </w:t>
      </w:r>
      <w:r>
        <w:t xml:space="preserve">— iKMC and OMWaNA together.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Alive &amp; Thrive</w:t>
      </w:r>
      <w:r>
        <w:t xml:space="preserve"> </w:t>
      </w:r>
      <w:r>
        <w:t xml:space="preserve">— the strongest at-scale breastfeeding evidence anywhere (+36.2 points EBF in Bangladesh, +27.9 in Viet Nam, through two different delivery channels).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MMS targeting evidence</w:t>
      </w:r>
      <w:r>
        <w:t xml:space="preserve"> </w:t>
      </w:r>
      <w:r>
        <w:t xml:space="preserve">— Smith 2017: the advantage over IFA concentrates in anaemic and underweight women and female infants.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IMPROVING transition study</w:t>
      </w:r>
      <w:r>
        <w:t xml:space="preserve"> </w:t>
      </w:r>
      <w:r>
        <w:t xml:space="preserve">— IFA→MMS implementation across Bangladesh, Burkina Faso, Madagascar and Tanzania.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source register</w:t>
      </w:r>
      <w:r>
        <w:t xml:space="preserve"> </w:t>
      </w:r>
      <w:r>
        <w:t xml:space="preserve">with per-item verification status.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hy-they-diverge"/>
    <w:p>
      <w:pPr>
        <w:pStyle w:val="Heading1"/>
      </w:pPr>
      <w:r>
        <w:t xml:space="preserve">5. Why they diverge</w:t>
      </w:r>
    </w:p>
    <w:p>
      <w:pPr>
        <w:pStyle w:val="FirstParagraph"/>
      </w:pPr>
      <w:r>
        <w:t xml:space="preserve">Three structural causes, all diagnosable: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Retrieval boundary.</w:t>
      </w:r>
      <w:r>
        <w:t xml:space="preserve"> </w:t>
      </w:r>
      <w:r>
        <w:t xml:space="preserve">PubMed and OpenAlex do not reach WHO guidelines, UN burden datasets or organisational reporting — so the deep-dive could not see the 2023 wasting guideline, the JME data, or the current WHA targets. It also missed the Cochrane MMS and RUTF reviews, which it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have retrieved; that is a search-strategy gap rather than a boundary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Verification checks traceability, not fidelity.</w:t>
      </w:r>
      <w:r>
        <w:t xml:space="preserve"> </w:t>
      </w:r>
      <w:r>
        <w:t xml:space="preserve">Every conflict in rows 1, 3, 6, 9, 10 and 11 above passed the pipeline’s verifier. A number can be traced to a real record and still be attached to the wrong population, the wrong indicator or the wrong claim.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Corpus-bounded claims stated as world facts.</w:t>
      </w:r>
      <w:r>
        <w:t xml:space="preserve"> </w:t>
      </w:r>
      <w:r>
        <w:t xml:space="preserve">“The only country running CMAM at national scale”</w:t>
      </w:r>
      <w:r>
        <w:t xml:space="preserve">,</w:t>
      </w:r>
      <w:r>
        <w:t xml:space="preserve"> </w:t>
      </w:r>
      <w:r>
        <w:t xml:space="preserve">“the only high-certainty finding”</w:t>
      </w:r>
      <w:r>
        <w:t xml:space="preserve"> </w:t>
      </w:r>
      <w:r>
        <w:t xml:space="preserve">and</w:t>
      </w:r>
      <w:r>
        <w:t xml:space="preserve"> </w:t>
      </w:r>
      <w:r>
        <w:t xml:space="preserve">“four of five independent syntheses”</w:t>
      </w:r>
      <w:r>
        <w:t xml:space="preserve"> </w:t>
      </w:r>
      <w:r>
        <w:t xml:space="preserve">are all true</w:t>
      </w:r>
      <w:r>
        <w:t xml:space="preserve"> </w:t>
      </w:r>
      <w:r>
        <w:rPr>
          <w:i/>
          <w:iCs/>
        </w:rPr>
        <w:t xml:space="preserve">of the corpus</w:t>
      </w:r>
      <w:r>
        <w:t xml:space="preserve"> </w:t>
      </w:r>
      <w:r>
        <w:t xml:space="preserve">and false of the world.</w:t>
      </w:r>
    </w:p>
    <w:p>
      <w:pPr>
        <w:pStyle w:val="FirstParagraph"/>
      </w:pPr>
      <w:r>
        <w:t xml:space="preserve">None of this makes the deep-dive unreliable as a body of work. It makes it a document whose implementation content is strong and whose headline effect claims need a verification pass — which is what the independent review supplies.</w:t>
      </w:r>
    </w:p>
    <w:p>
      <w:r>
        <w:pict>
          <v:rect style="width:0;height:1.5pt" o:hralign="center" o:hrstd="t" o:hr="t"/>
        </w:pict>
      </w:r>
    </w:p>
    <w:bookmarkEnd w:id="15"/>
    <w:bookmarkStart w:id="16" w:name="proposed-spine-for-the-care-summary"/>
    <w:p>
      <w:pPr>
        <w:pStyle w:val="Heading1"/>
      </w:pPr>
      <w:r>
        <w:t xml:space="preserve">6. Proposed spine for the CARE summary</w:t>
      </w:r>
    </w:p>
    <w:p>
      <w:pPr>
        <w:pStyle w:val="FirstParagraph"/>
      </w:pPr>
      <w:r>
        <w:t xml:space="preserve">Roughly 8–10 pages. Draws numbers and framing from the independent review, implementation texture from the deep-dive.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was asked, and how we answered it.</w:t>
            </w:r>
            <w:r>
              <w:t xml:space="preserve"> </w:t>
            </w:r>
            <w:r>
              <w:t xml:space="preserve">Two independent reviews; note that convergent findings are the confident core and flag where they differed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three interventions, stated honestly.</w:t>
            </w:r>
            <w:r>
              <w:t xml:space="preserve"> </w:t>
            </w:r>
            <w:r>
              <w:t xml:space="preserve">Corrected effect sizes with populations and certainty. KMC as a preterm/LBW intervention with a strong WHO recommendation; CMAM against its real counterfactual; MMS on birth size, not survival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each buys.</w:t>
            </w:r>
            <w:r>
              <w:t xml:space="preserve"> </w:t>
            </w:r>
            <w:r>
              <w:t xml:space="preserve">Cost per DALY, cost per child, commodity cost of the MMS switch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Where.</w:t>
            </w:r>
            <w:r>
              <w:t xml:space="preserve"> </w:t>
            </w:r>
            <w:r>
              <w:t xml:space="preserve">Burden-based targeting — India and the Sahel–Sudan–Yemen belt for CMAM; South Asia for MMS and the newborn package — with the sub-national caveat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doesn’t scale.</w:t>
            </w:r>
            <w:r>
              <w:t xml:space="preserve"> </w:t>
            </w:r>
            <w:r>
              <w:t xml:space="preserve">Case-finding vs conversion; supply chain; incentives; workload; sustainability after donor exit; relapse and post-discharge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Deep-dive</w:t>
            </w:r>
            <w:r>
              <w:t xml:space="preserve">, with independent review’s WHO 2023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packaged options.</w:t>
            </w:r>
            <w:r>
              <w:t xml:space="preserve"> </w:t>
            </w:r>
            <w:r>
              <w:t xml:space="preserve">Corrected: Option A as small-and-sick-newborn care; Option B with the severest-children caveat on simplified protocols; Option C with the targeting rule and iron-dose design rule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a ministry will ask.</w:t>
            </w:r>
            <w:r>
              <w:t xml:space="preserve"> </w:t>
            </w:r>
            <w:r>
              <w:t xml:space="preserve">Normative status — WHO 2023 makes CHW delivery conditional/very-low-certainty; MMS is research-only; simplified protocols run ahead of the guideline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 don’t know</w:t>
            </w:r>
            <w:r>
              <w:t xml:space="preserve">, and what would change the answer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editorial rules for the merge: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they conflict, the independent numbers win</w:t>
      </w:r>
      <w:r>
        <w:t xml:space="preserve"> </w:t>
      </w:r>
      <w:r>
        <w:t xml:space="preserve">— each was verified at source, and §3 records why.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 deep-dive implementation claim carried across gets spot-verified first.</w:t>
      </w:r>
      <w:r>
        <w:t xml:space="preserve"> </w:t>
      </w:r>
      <w:r>
        <w:t xml:space="preserve">The four named in §4.1 are the priority.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Populations travel with effect sizes.</w:t>
      </w:r>
      <w:r>
        <w:t xml:space="preserve"> </w:t>
      </w:r>
      <w:r>
        <w:t xml:space="preserve">Every risk ratio in the combined document states who it was measured in. That single rule prevents the largest error class found in the deep-dive.</w:t>
      </w:r>
    </w:p>
    <w:p>
      <w:pPr>
        <w:pStyle w:val="FirstParagraph"/>
      </w:pPr>
      <w:r>
        <w:rPr>
          <w:b/>
          <w:bCs/>
        </w:rPr>
        <w:t xml:space="preserve">One open question for you before we draft:</w:t>
      </w:r>
      <w:r>
        <w:t xml:space="preserve"> </w:t>
      </w:r>
      <w:r>
        <w:t xml:space="preserve">how much of the disagreement to show CARE. My instinct is a short, unfussy note in §1 that two reviews were run and differed on specific points, with the corrections simply applied in the text rather than litigated — partners want the answer, not the audit trail. But if this is also feeding the methods paper, the audit trail is the interesting part and belongs in an annex.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before="0" w:line="276" w:lineRule="auto"/>
    </w:pPr>
    <w:rPr>
      <w:rFonts w:ascii="Cambria" w:cs="Cambria" w:eastAsia="Cambria" w:hAnsi="Cambria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/>
      <w:pBdr>
        <w:bottom w:color="12495B" w:space="6" w:sz="12" w:val="single"/>
      </w:pBdr>
    </w:pPr>
    <w:rPr>
      <w:rFonts w:ascii="Calibri" w:cs="Calibri" w:eastAsia="Calibri" w:hAnsi="Calibri"/>
      <w:b/>
      <w:color w:val="12495B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/>
    </w:pPr>
    <w:rPr>
      <w:rFonts w:ascii="Calibri" w:cs="Calibri" w:eastAsia="Calibri" w:hAnsi="Calibri"/>
      <w:color w:val="1F6B7B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20"/>
      <w:outlineLvl w:val="0"/>
    </w:pPr>
    <w:rPr>
      <w:rFonts w:ascii="Calibri" w:cs="Calibri" w:eastAsia="Calibri" w:hAnsi="Calibri"/>
      <w:b/>
      <w:color w:val="12495B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libri" w:cs="Calibri" w:eastAsia="Calibri" w:hAnsi="Calibri"/>
      <w:b/>
      <w:color w:val="1F6B7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Calibri" w:cs="Calibri" w:eastAsia="Calibri" w:hAnsi="Calibri"/>
      <w:b/>
      <w:color w:val="3D4A52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90" w:before="220"/>
      <w:outlineLvl w:val="3"/>
    </w:pPr>
    <w:rPr>
      <w:rFonts w:ascii="Calibri" w:cs="Calibri" w:eastAsia="Calibri" w:hAnsi="Calibri"/>
      <w:b/>
      <w:color w:val="3D4A52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color="C9D6DB" w:space="8" w:sz="4" w:val="single"/>
        <w:left w:color="1F6B7B" w:space="10" w:sz="18" w:val="single"/>
        <w:bottom w:color="C9D6DB" w:space="8" w:sz="4" w:val="single"/>
        <w:right w:color="C9D6DB" w:space="8" w:sz="4" w:val="single"/>
      </w:pBdr>
      <w:shd w:color="auto" w:fill="F2F7F9" w:val="clear"/>
      <w:spacing w:after="160" w:before="160" w:line="264" w:lineRule="auto"/>
      <w:ind w:left="0" w:right="0"/>
    </w:pPr>
    <w:rPr>
      <w:rFonts w:ascii="Cambria" w:cs="Cambria" w:eastAsia="Cambria" w:hAnsi="Cambria"/>
      <w:color w:val="1A1A1A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able" w:type="table">
    <w:name w:val="Table"/>
    <w:uiPriority w:val="99"/>
    <w:pPr>
      <w:spacing w:after="40" w:before="40" w:line="240" w:lineRule="auto"/>
    </w:pPr>
    <w:rPr>
      <w:rFonts w:ascii="Cambria" w:cs="Cambria" w:eastAsia="Cambria" w:hAnsi="Cambria"/>
      <w:sz w:val="19"/>
      <w:szCs w:val="19"/>
    </w:rPr>
    <w:tblPr>
      <w:tblBorders>
        <w:top w:color="C9D6DB" w:space="0" w:sz="4" w:val="single"/>
        <w:left w:color="C9D6DB" w:space="0" w:sz="4" w:val="single"/>
        <w:bottom w:color="C9D6DB" w:space="0" w:sz="4" w:val="single"/>
        <w:right w:color="C9D6DB" w:space="0" w:sz="4" w:val="single"/>
        <w:insideH w:color="C9D6DB" w:space="0" w:sz="4" w:val="single"/>
        <w:insideV w:color="C9D6DB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color w:val="12495B"/>
      </w:rPr>
      <w:tcPr>
        <w:shd w:color="auto" w:fill="E4EDF1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Reviews Compared</dc:title>
  <dc:creator/>
  <cp:keywords/>
  <dcterms:created xsi:type="dcterms:W3CDTF">2026-08-06T19:07:46Z</dcterms:created>
  <dcterms:modified xsi:type="dcterms:W3CDTF">2026-08-06T19:07:46Z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Pipeline deep-dive vs independent review — convergence, conflict, and a proposed spine for the CARE summary</vt:lpwstr>
  </property>
</Properties>
</file>