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3873C" w14:textId="77777777" w:rsidR="00196639" w:rsidRDefault="00000000">
      <w:pPr>
        <w:pStyle w:val="Title"/>
      </w:pPr>
      <w:r>
        <w:t>Scaling Three High-Impact Nutrition Interventions</w:t>
      </w:r>
    </w:p>
    <w:p w14:paraId="49A7E1BD" w14:textId="77777777" w:rsidR="00196639" w:rsidRDefault="00000000">
      <w:pPr>
        <w:pStyle w:val="Subtitle"/>
      </w:pPr>
      <w:r>
        <w:t>Evidence, cost, targeting and implementation — a summary for CARE and IA partners</w:t>
      </w:r>
    </w:p>
    <w:p w14:paraId="38493E5A" w14:textId="0940F856" w:rsidR="00196639" w:rsidRDefault="00000000" w:rsidP="00EE6AC9">
      <w:pPr>
        <w:pStyle w:val="Date"/>
      </w:pPr>
      <w:r>
        <w:t>August 2026</w:t>
      </w:r>
    </w:p>
    <w:p w14:paraId="6CE9D257" w14:textId="77777777" w:rsidR="00196639" w:rsidRDefault="00000000">
      <w:pPr>
        <w:pStyle w:val="Heading1"/>
      </w:pPr>
      <w:bookmarkStart w:id="0" w:name="what-was-asked-and-how-we-answered-it"/>
      <w:r>
        <w:t>1. What was asked, and how we answered it</w:t>
      </w:r>
    </w:p>
    <w:p w14:paraId="61375707" w14:textId="77777777" w:rsidR="00196639" w:rsidRDefault="00000000">
      <w:pPr>
        <w:pStyle w:val="FirstParagraph"/>
      </w:pPr>
      <w:r>
        <w:t>CARE and IA partners — Save the Children and Mercy Corps — narrowed an initial 15-intervention synthesis to three for a deeper review:</w:t>
      </w:r>
    </w:p>
    <w:p w14:paraId="23129850" w14:textId="77777777" w:rsidR="00196639" w:rsidRDefault="00000000">
      <w:pPr>
        <w:pStyle w:val="Compact"/>
        <w:numPr>
          <w:ilvl w:val="0"/>
          <w:numId w:val="2"/>
        </w:numPr>
      </w:pPr>
      <w:r>
        <w:rPr>
          <w:b/>
          <w:bCs/>
        </w:rPr>
        <w:t>Community-based management of acute malnutrition (CMAM)</w:t>
      </w:r>
      <w:r>
        <w:t xml:space="preserve"> — a health-system treatment package, with innovation around simplified protocols and cost efficiency.</w:t>
      </w:r>
    </w:p>
    <w:p w14:paraId="1B69F6B4" w14:textId="77777777" w:rsidR="00196639" w:rsidRDefault="00000000">
      <w:pPr>
        <w:pStyle w:val="Compact"/>
        <w:numPr>
          <w:ilvl w:val="0"/>
          <w:numId w:val="2"/>
        </w:numPr>
      </w:pPr>
      <w:r>
        <w:rPr>
          <w:b/>
          <w:bCs/>
        </w:rPr>
        <w:t>Breastfeeding promotion and support</w:t>
      </w:r>
      <w:r>
        <w:t xml:space="preserve"> — disaggregated into a facility-based package around delivery and a community/CHW postnatal package, each with its own evidence profile.</w:t>
      </w:r>
    </w:p>
    <w:p w14:paraId="4B2A0F5D" w14:textId="77777777" w:rsidR="00196639" w:rsidRDefault="00000000">
      <w:pPr>
        <w:pStyle w:val="Compact"/>
        <w:numPr>
          <w:ilvl w:val="0"/>
          <w:numId w:val="2"/>
        </w:numPr>
      </w:pPr>
      <w:r>
        <w:rPr>
          <w:b/>
          <w:bCs/>
        </w:rPr>
        <w:t>Antenatal multiple micronutrient supplementation (MMS)</w:t>
      </w:r>
      <w:r>
        <w:t xml:space="preserve"> — a commodity-based intervention, focused on the iron-folic-acid-to-MMS transition, logistics, financing and adherence.</w:t>
      </w:r>
    </w:p>
    <w:p w14:paraId="279C3090" w14:textId="77777777" w:rsidR="00196639" w:rsidRDefault="00000000">
      <w:pPr>
        <w:pStyle w:val="FirstParagraph"/>
      </w:pPr>
      <w:r>
        <w:t xml:space="preserve">The partner steer shaped the scope: </w:t>
      </w:r>
      <w:r>
        <w:rPr>
          <w:b/>
          <w:bCs/>
        </w:rPr>
        <w:t>the evidence base for these interventions is established, and the binding constraint is adherence, coverage and sustainable operationalization rather than efficacy.</w:t>
      </w:r>
      <w:r>
        <w:t xml:space="preserve"> This summary therefore reports clinical effectiveness, but spends more of its length on cost, targeting and implementation.</w:t>
      </w:r>
    </w:p>
    <w:p w14:paraId="2DFFCC9F" w14:textId="77777777" w:rsidR="00196639" w:rsidRDefault="00000000">
      <w:pPr>
        <w:pStyle w:val="BodyText"/>
      </w:pPr>
      <w:r>
        <w:rPr>
          <w:b/>
          <w:bCs/>
        </w:rPr>
        <w:t>How to read the numbers.</w:t>
      </w:r>
      <w:r>
        <w:t xml:space="preserve"> Every effect estimate below states the population it was measured in, because several of these interventions work in narrower populations than their headline figures suggest. </w:t>
      </w:r>
      <w:r>
        <w:rPr>
          <w:b/>
          <w:bCs/>
        </w:rPr>
        <w:t>RR</w:t>
      </w:r>
      <w:r>
        <w:t xml:space="preserve"> is a risk ratio: 1.00 means no difference, below 1 means fewer events, and a bracketed range crossing 1.00 is not statistically significant. </w:t>
      </w:r>
      <w:r>
        <w:rPr>
          <w:b/>
          <w:bCs/>
        </w:rPr>
        <w:t>Certainty</w:t>
      </w:r>
      <w:r>
        <w:t xml:space="preserve"> ratings are GRADE ratings assigned by the source authors, quoted as they stated them.</w:t>
      </w:r>
    </w:p>
    <w:p w14:paraId="4959AE1A" w14:textId="77777777" w:rsidR="00196639" w:rsidRDefault="00000000">
      <w:pPr>
        <w:pStyle w:val="BodyText"/>
      </w:pPr>
      <w:r>
        <w:t>Two evidence reviews were run over this question using different methods — a large-scale automated synthesis and a hand-verified review of primary sources, guidelines, cost studies and burden datasets. This summary reports what they establish jointly.</w:t>
      </w:r>
    </w:p>
    <w:p w14:paraId="1078FA15" w14:textId="77777777" w:rsidR="00196639" w:rsidRDefault="00FF2E54">
      <w:r>
        <w:rPr>
          <w:noProof/>
        </w:rPr>
      </w:r>
      <w:r>
        <w:pict w14:anchorId="75AA4C5A">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1EBAEB" w14:textId="77777777" w:rsidR="00196639" w:rsidRDefault="00000000">
      <w:pPr>
        <w:pStyle w:val="Heading1"/>
      </w:pPr>
      <w:bookmarkStart w:id="1" w:name="the-three-interventions-stated-honestly"/>
      <w:bookmarkEnd w:id="0"/>
      <w:r>
        <w:t>2. The three interventions, stated honestly</w:t>
      </w:r>
    </w:p>
    <w:p w14:paraId="11F58132" w14:textId="77777777" w:rsidR="00196639" w:rsidRDefault="00000000">
      <w:pPr>
        <w:pStyle w:val="Heading2"/>
      </w:pPr>
      <w:bookmarkStart w:id="2" w:name="what-each-one-is-for"/>
      <w:r>
        <w:t>2.1 What each one is for</w:t>
      </w:r>
    </w:p>
    <w:p w14:paraId="126A1B02" w14:textId="77777777" w:rsidR="00196639" w:rsidRDefault="00000000">
      <w:pPr>
        <w:pStyle w:val="FirstParagraph"/>
      </w:pPr>
      <w:r>
        <w:rPr>
          <w:b/>
          <w:bCs/>
        </w:rPr>
        <w:t>They do different jobs, and comparing them on a single scale would be misleading.</w:t>
      </w:r>
      <w:r>
        <w:t xml:space="preserve"> CMAM treats children who are already acutely malnourished. The facility newborn package keeps small and sick babies alive in their first weeks. The community breastfeeding package changes feeding behaviour </w:t>
      </w:r>
      <w:r>
        <w:lastRenderedPageBreak/>
        <w:t>across a whole population. MMS makes babies bigger at birth. These are measured on different outcomes, in different populations, against different comparators.</w:t>
      </w:r>
    </w:p>
    <w:p w14:paraId="0B9AC5EA" w14:textId="77777777" w:rsidR="00196639" w:rsidRDefault="00000000">
      <w:pPr>
        <w:pStyle w:val="Heading2"/>
      </w:pPr>
      <w:bookmarkStart w:id="3" w:name="cmam"/>
      <w:bookmarkEnd w:id="2"/>
      <w:r>
        <w:t>2.2 CMAM</w:t>
      </w:r>
    </w:p>
    <w:tbl>
      <w:tblPr>
        <w:tblStyle w:val="Table0"/>
        <w:tblW w:w="5000" w:type="pct"/>
        <w:tblInd w:w="100" w:type="dxa"/>
        <w:tblLayout w:type="fixed"/>
        <w:tblLook w:val="0020" w:firstRow="1" w:lastRow="0" w:firstColumn="0" w:lastColumn="0" w:noHBand="0" w:noVBand="0"/>
      </w:tblPr>
      <w:tblGrid>
        <w:gridCol w:w="3186"/>
        <w:gridCol w:w="3187"/>
        <w:gridCol w:w="3187"/>
      </w:tblGrid>
      <w:tr w:rsidR="00196639" w14:paraId="0DAD1266"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A75F99" w14:textId="77777777" w:rsidR="00196639" w:rsidRDefault="00000000">
            <w:pPr>
              <w:pStyle w:val="Compact"/>
            </w:pPr>
            <w:r>
              <w:t>Finding</w:t>
            </w:r>
          </w:p>
        </w:tc>
        <w:tc>
          <w:tcPr>
            <w:tcW w:w="2640" w:type="dxa"/>
          </w:tcPr>
          <w:p w14:paraId="6F0B5642" w14:textId="77777777" w:rsidR="00196639" w:rsidRDefault="00000000">
            <w:pPr>
              <w:pStyle w:val="Compact"/>
            </w:pPr>
            <w:r>
              <w:t>Estimate</w:t>
            </w:r>
          </w:p>
        </w:tc>
        <w:tc>
          <w:tcPr>
            <w:tcW w:w="2640" w:type="dxa"/>
          </w:tcPr>
          <w:p w14:paraId="20F90E7A" w14:textId="77777777" w:rsidR="00196639" w:rsidRDefault="00000000">
            <w:pPr>
              <w:pStyle w:val="Compact"/>
            </w:pPr>
            <w:r>
              <w:t>Source</w:t>
            </w:r>
          </w:p>
        </w:tc>
      </w:tr>
      <w:tr w:rsidR="00196639" w14:paraId="614FA532" w14:textId="77777777">
        <w:tc>
          <w:tcPr>
            <w:tcW w:w="2640" w:type="dxa"/>
          </w:tcPr>
          <w:p w14:paraId="43A78FBF" w14:textId="77777777" w:rsidR="00196639" w:rsidRDefault="00000000">
            <w:pPr>
              <w:pStyle w:val="Compact"/>
            </w:pPr>
            <w:r>
              <w:t>Ready-to-use therapeutic food vs alternative dietary approaches — recovery</w:t>
            </w:r>
          </w:p>
        </w:tc>
        <w:tc>
          <w:tcPr>
            <w:tcW w:w="2640" w:type="dxa"/>
          </w:tcPr>
          <w:p w14:paraId="0E42712D" w14:textId="77777777" w:rsidR="00196639" w:rsidRDefault="00000000">
            <w:pPr>
              <w:pStyle w:val="Compact"/>
            </w:pPr>
            <w:r>
              <w:rPr>
                <w:b/>
                <w:bCs/>
              </w:rPr>
              <w:t>RR 1.33 (1.16–1.54)</w:t>
            </w:r>
            <w:r>
              <w:t>, moderate certainty</w:t>
            </w:r>
          </w:p>
        </w:tc>
        <w:tc>
          <w:tcPr>
            <w:tcW w:w="2640" w:type="dxa"/>
          </w:tcPr>
          <w:p w14:paraId="25FC7635" w14:textId="77777777" w:rsidR="00196639" w:rsidRDefault="00000000">
            <w:pPr>
              <w:pStyle w:val="Compact"/>
            </w:pPr>
            <w:r>
              <w:t>Cochrane CD009000, 2019</w:t>
            </w:r>
          </w:p>
        </w:tc>
      </w:tr>
      <w:tr w:rsidR="00196639" w14:paraId="35BA441B" w14:textId="77777777">
        <w:tc>
          <w:tcPr>
            <w:tcW w:w="2640" w:type="dxa"/>
          </w:tcPr>
          <w:p w14:paraId="4781561E" w14:textId="77777777" w:rsidR="00196639" w:rsidRDefault="00000000">
            <w:pPr>
              <w:pStyle w:val="Compact"/>
            </w:pPr>
            <w:r>
              <w:t>Standard RUTF vs alternative formulations — recovery</w:t>
            </w:r>
          </w:p>
        </w:tc>
        <w:tc>
          <w:tcPr>
            <w:tcW w:w="2640" w:type="dxa"/>
          </w:tcPr>
          <w:p w14:paraId="47D18667" w14:textId="77777777" w:rsidR="00196639" w:rsidRDefault="00000000">
            <w:pPr>
              <w:pStyle w:val="Compact"/>
            </w:pPr>
            <w:r>
              <w:t xml:space="preserve">RR 1.03 (0.99–1.08), </w:t>
            </w:r>
            <w:r>
              <w:rPr>
                <w:b/>
                <w:bCs/>
              </w:rPr>
              <w:t>high certainty</w:t>
            </w:r>
          </w:p>
        </w:tc>
        <w:tc>
          <w:tcPr>
            <w:tcW w:w="2640" w:type="dxa"/>
          </w:tcPr>
          <w:p w14:paraId="4C1DFE86" w14:textId="77777777" w:rsidR="00196639" w:rsidRDefault="00000000">
            <w:pPr>
              <w:pStyle w:val="Compact"/>
            </w:pPr>
            <w:r>
              <w:t>same</w:t>
            </w:r>
          </w:p>
        </w:tc>
      </w:tr>
      <w:tr w:rsidR="00196639" w14:paraId="1649AF09" w14:textId="77777777">
        <w:tc>
          <w:tcPr>
            <w:tcW w:w="2640" w:type="dxa"/>
          </w:tcPr>
          <w:p w14:paraId="45D38917" w14:textId="77777777" w:rsidR="00196639" w:rsidRDefault="00000000">
            <w:pPr>
              <w:pStyle w:val="Compact"/>
            </w:pPr>
            <w:r>
              <w:t>Standard RUTF vs alternative formulations — relapse</w:t>
            </w:r>
          </w:p>
        </w:tc>
        <w:tc>
          <w:tcPr>
            <w:tcW w:w="2640" w:type="dxa"/>
          </w:tcPr>
          <w:p w14:paraId="5F3F038E" w14:textId="77777777" w:rsidR="00196639" w:rsidRDefault="00000000">
            <w:pPr>
              <w:pStyle w:val="Compact"/>
            </w:pPr>
            <w:r>
              <w:t xml:space="preserve">RR 0.84 (0.72–0.98), </w:t>
            </w:r>
            <w:r>
              <w:rPr>
                <w:b/>
                <w:bCs/>
              </w:rPr>
              <w:t>high certainty</w:t>
            </w:r>
          </w:p>
        </w:tc>
        <w:tc>
          <w:tcPr>
            <w:tcW w:w="2640" w:type="dxa"/>
          </w:tcPr>
          <w:p w14:paraId="0F785460" w14:textId="77777777" w:rsidR="00196639" w:rsidRDefault="00000000">
            <w:pPr>
              <w:pStyle w:val="Compact"/>
            </w:pPr>
            <w:r>
              <w:t>same</w:t>
            </w:r>
          </w:p>
        </w:tc>
      </w:tr>
      <w:tr w:rsidR="00196639" w14:paraId="7D2DBA04" w14:textId="77777777">
        <w:tc>
          <w:tcPr>
            <w:tcW w:w="2640" w:type="dxa"/>
          </w:tcPr>
          <w:p w14:paraId="23CC9CAD" w14:textId="77777777" w:rsidR="00196639" w:rsidRDefault="00000000">
            <w:pPr>
              <w:pStyle w:val="Compact"/>
            </w:pPr>
            <w:r>
              <w:rPr>
                <w:b/>
                <w:bCs/>
              </w:rPr>
              <w:t>Mortality risk in untreated severe wasting</w:t>
            </w:r>
          </w:p>
        </w:tc>
        <w:tc>
          <w:tcPr>
            <w:tcW w:w="2640" w:type="dxa"/>
          </w:tcPr>
          <w:p w14:paraId="7BA3595C" w14:textId="77777777" w:rsidR="00196639" w:rsidRDefault="00000000">
            <w:pPr>
              <w:pStyle w:val="Compact"/>
            </w:pPr>
            <w:r>
              <w:rPr>
                <w:b/>
                <w:bCs/>
              </w:rPr>
              <w:t>HR 11.63 (9.84–13.76)</w:t>
            </w:r>
            <w:r>
              <w:t xml:space="preserve"> vs non-wasted children</w:t>
            </w:r>
          </w:p>
        </w:tc>
        <w:tc>
          <w:tcPr>
            <w:tcW w:w="2640" w:type="dxa"/>
          </w:tcPr>
          <w:p w14:paraId="44A80752" w14:textId="77777777" w:rsidR="00196639" w:rsidRDefault="00000000">
            <w:pPr>
              <w:pStyle w:val="Compact"/>
            </w:pPr>
            <w:r>
              <w:t>Olofin et al., 10 cohorts, 53,809 children</w:t>
            </w:r>
          </w:p>
        </w:tc>
      </w:tr>
    </w:tbl>
    <w:p w14:paraId="5E461480" w14:textId="77777777" w:rsidR="00196639" w:rsidRDefault="00000000">
      <w:pPr>
        <w:pStyle w:val="BodyText"/>
      </w:pPr>
      <w:r>
        <w:rPr>
          <w:b/>
          <w:bCs/>
        </w:rPr>
        <w:t>The case for CMAM rests on the counterfactual, not on a trial effect.</w:t>
      </w:r>
      <w:r>
        <w:t xml:space="preserve"> No trial randomises children to no treatment, so every comparison in this literature is one food or protocol against another. The number that carries a finance-ministry conversation is that </w:t>
      </w:r>
      <w:r>
        <w:rPr>
          <w:b/>
          <w:bCs/>
        </w:rPr>
        <w:t>severely wasted children die at roughly 11.6 times the rate of non-wasted children.</w:t>
      </w:r>
    </w:p>
    <w:p w14:paraId="418D65AA" w14:textId="77777777" w:rsidR="00196639" w:rsidRDefault="00000000">
      <w:pPr>
        <w:pStyle w:val="BodyText"/>
      </w:pPr>
      <w:r>
        <w:rPr>
          <w:b/>
          <w:bCs/>
        </w:rPr>
        <w:t>Formulations are interchangeable; dietary alternatives are not.</w:t>
      </w:r>
      <w:r>
        <w:t xml:space="preserve"> RUTF outperforms alternative dietary approaches on recovery, but different RUTF formulations perform equivalently at high certainty. Procurement is therefore a cost question, not a clinical risk.</w:t>
      </w:r>
    </w:p>
    <w:p w14:paraId="68820B90" w14:textId="77777777" w:rsidR="00196639" w:rsidRDefault="00000000">
      <w:pPr>
        <w:pStyle w:val="BodyText"/>
      </w:pPr>
      <w:r>
        <w:rPr>
          <w:b/>
          <w:bCs/>
        </w:rPr>
        <w:t>Simplified protocols save substantial commodity and hold recovery in aggregate.</w:t>
      </w:r>
      <w:r>
        <w:t xml:space="preserve"> The combined SAM/MAM protocol achieved 76.3% recovery against 73.5% for standard care (difference 0.03, −0.05 to 0.10; 10% non-inferiority margin), using </w:t>
      </w:r>
      <w:r>
        <w:rPr>
          <w:b/>
          <w:bCs/>
        </w:rPr>
        <w:t>122 rather than 193 RUTF sachets</w:t>
      </w:r>
      <w:r>
        <w:t xml:space="preserve"> per child recovered. A 2025 three-arm trial in Niger confirmed non-inferiority for both leading simplified protocols overall, with commodity savings of 32–50%. </w:t>
      </w:r>
      <w:r>
        <w:rPr>
          <w:b/>
          <w:bCs/>
        </w:rPr>
        <w:t>In the most severely wasted children — those with MUAC under 115 mm or oedema — the standard protocol achieved higher recovery</w:t>
      </w:r>
      <w:r>
        <w:t>, driven by better attendance rather than any difference in mortality or growth. Reduced-dose regimens also carry a small negative effect on height gain velocity, more pronounced under 12 months.</w:t>
      </w:r>
    </w:p>
    <w:p w14:paraId="6002873A" w14:textId="77777777" w:rsidR="00196639" w:rsidRDefault="00000000">
      <w:pPr>
        <w:pStyle w:val="BodyText"/>
      </w:pPr>
      <w:r>
        <w:rPr>
          <w:b/>
          <w:bCs/>
        </w:rPr>
        <w:t>The design implication:</w:t>
      </w:r>
      <w:r>
        <w:t xml:space="preserve"> simplification is a real efficiency gain for the moderate and uncomplicated caseload, and should not yet be applied uniformly to the severest children.</w:t>
      </w:r>
    </w:p>
    <w:p w14:paraId="5C0A95D5" w14:textId="77777777" w:rsidR="00196639" w:rsidRDefault="00000000">
      <w:pPr>
        <w:pStyle w:val="Heading2"/>
      </w:pPr>
      <w:bookmarkStart w:id="4" w:name="Xbc0e1491a3e30ea0d584667513c89263227d55d"/>
      <w:bookmarkEnd w:id="3"/>
      <w:r>
        <w:t>2.3 Breastfeeding, Package A — facility-based support around delivery</w:t>
      </w:r>
    </w:p>
    <w:tbl>
      <w:tblPr>
        <w:tblStyle w:val="Table0"/>
        <w:tblW w:w="5000" w:type="pct"/>
        <w:tblInd w:w="100" w:type="dxa"/>
        <w:tblLayout w:type="fixed"/>
        <w:tblLook w:val="0020" w:firstRow="1" w:lastRow="0" w:firstColumn="0" w:lastColumn="0" w:noHBand="0" w:noVBand="0"/>
      </w:tblPr>
      <w:tblGrid>
        <w:gridCol w:w="3186"/>
        <w:gridCol w:w="3187"/>
        <w:gridCol w:w="3187"/>
      </w:tblGrid>
      <w:tr w:rsidR="00196639" w14:paraId="0A48998E"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22FD73" w14:textId="77777777" w:rsidR="00196639" w:rsidRDefault="00000000">
            <w:pPr>
              <w:pStyle w:val="Compact"/>
            </w:pPr>
            <w:r>
              <w:t>Finding</w:t>
            </w:r>
          </w:p>
        </w:tc>
        <w:tc>
          <w:tcPr>
            <w:tcW w:w="2640" w:type="dxa"/>
          </w:tcPr>
          <w:p w14:paraId="6261DBEC" w14:textId="77777777" w:rsidR="00196639" w:rsidRDefault="00000000">
            <w:pPr>
              <w:pStyle w:val="Compact"/>
            </w:pPr>
            <w:r>
              <w:t>Population</w:t>
            </w:r>
          </w:p>
        </w:tc>
        <w:tc>
          <w:tcPr>
            <w:tcW w:w="2640" w:type="dxa"/>
          </w:tcPr>
          <w:p w14:paraId="5F3EE0F2" w14:textId="77777777" w:rsidR="00196639" w:rsidRDefault="00000000">
            <w:pPr>
              <w:pStyle w:val="Compact"/>
            </w:pPr>
            <w:r>
              <w:t>Estimate</w:t>
            </w:r>
          </w:p>
        </w:tc>
      </w:tr>
      <w:tr w:rsidR="00196639" w14:paraId="7BD3BE29" w14:textId="77777777">
        <w:tc>
          <w:tcPr>
            <w:tcW w:w="2640" w:type="dxa"/>
          </w:tcPr>
          <w:p w14:paraId="1E3796CF" w14:textId="77777777" w:rsidR="00196639" w:rsidRDefault="00000000">
            <w:pPr>
              <w:pStyle w:val="Compact"/>
            </w:pPr>
            <w:r>
              <w:t>Kangaroo mother care vs conventional care — mortality</w:t>
            </w:r>
          </w:p>
        </w:tc>
        <w:tc>
          <w:tcPr>
            <w:tcW w:w="2640" w:type="dxa"/>
          </w:tcPr>
          <w:p w14:paraId="55A13BD8" w14:textId="77777777" w:rsidR="00196639" w:rsidRDefault="00000000">
            <w:pPr>
              <w:pStyle w:val="Compact"/>
            </w:pPr>
            <w:r>
              <w:rPr>
                <w:b/>
                <w:bCs/>
              </w:rPr>
              <w:t>Preterm or low-birth-weight infants</w:t>
            </w:r>
          </w:p>
        </w:tc>
        <w:tc>
          <w:tcPr>
            <w:tcW w:w="2640" w:type="dxa"/>
          </w:tcPr>
          <w:p w14:paraId="2581B399" w14:textId="77777777" w:rsidR="00196639" w:rsidRDefault="00000000">
            <w:pPr>
              <w:pStyle w:val="Compact"/>
            </w:pPr>
            <w:r>
              <w:rPr>
                <w:b/>
                <w:bCs/>
              </w:rPr>
              <w:t>RR 0.68 (0.53–0.86)</w:t>
            </w:r>
            <w:r>
              <w:t xml:space="preserve">, 11 trials, 10,505 infants, </w:t>
            </w:r>
            <w:r>
              <w:rPr>
                <w:b/>
                <w:bCs/>
              </w:rPr>
              <w:t>high certainty</w:t>
            </w:r>
          </w:p>
        </w:tc>
      </w:tr>
      <w:tr w:rsidR="00196639" w14:paraId="63BD23B0" w14:textId="77777777">
        <w:tc>
          <w:tcPr>
            <w:tcW w:w="2640" w:type="dxa"/>
          </w:tcPr>
          <w:p w14:paraId="053312F9" w14:textId="77777777" w:rsidR="00196639" w:rsidRDefault="00000000">
            <w:pPr>
              <w:pStyle w:val="Compact"/>
            </w:pPr>
            <w:r>
              <w:lastRenderedPageBreak/>
              <w:t>KMC — severe infection</w:t>
            </w:r>
          </w:p>
        </w:tc>
        <w:tc>
          <w:tcPr>
            <w:tcW w:w="2640" w:type="dxa"/>
          </w:tcPr>
          <w:p w14:paraId="136B997A" w14:textId="77777777" w:rsidR="00196639" w:rsidRDefault="00000000">
            <w:pPr>
              <w:pStyle w:val="Compact"/>
            </w:pPr>
            <w:r>
              <w:t>same</w:t>
            </w:r>
          </w:p>
        </w:tc>
        <w:tc>
          <w:tcPr>
            <w:tcW w:w="2640" w:type="dxa"/>
          </w:tcPr>
          <w:p w14:paraId="21EB8795" w14:textId="77777777" w:rsidR="00196639" w:rsidRDefault="00000000">
            <w:pPr>
              <w:pStyle w:val="Compact"/>
            </w:pPr>
            <w:r>
              <w:t>RR 0.85 (0.79–0.92), moderate certainty</w:t>
            </w:r>
          </w:p>
        </w:tc>
      </w:tr>
      <w:tr w:rsidR="00196639" w14:paraId="304CAC60" w14:textId="77777777">
        <w:tc>
          <w:tcPr>
            <w:tcW w:w="2640" w:type="dxa"/>
          </w:tcPr>
          <w:p w14:paraId="6A0EF87E" w14:textId="77777777" w:rsidR="00196639" w:rsidRDefault="00000000">
            <w:pPr>
              <w:pStyle w:val="Compact"/>
            </w:pPr>
            <w:r>
              <w:t>Early vs late KMC initiation — mortality</w:t>
            </w:r>
          </w:p>
        </w:tc>
        <w:tc>
          <w:tcPr>
            <w:tcW w:w="2640" w:type="dxa"/>
          </w:tcPr>
          <w:p w14:paraId="5B5FE6A5" w14:textId="77777777" w:rsidR="00196639" w:rsidRDefault="00000000">
            <w:pPr>
              <w:pStyle w:val="Compact"/>
            </w:pPr>
            <w:r>
              <w:t>same</w:t>
            </w:r>
          </w:p>
        </w:tc>
        <w:tc>
          <w:tcPr>
            <w:tcW w:w="2640" w:type="dxa"/>
          </w:tcPr>
          <w:p w14:paraId="09201EDD" w14:textId="77777777" w:rsidR="00196639" w:rsidRDefault="00000000">
            <w:pPr>
              <w:pStyle w:val="Compact"/>
            </w:pPr>
            <w:r>
              <w:t>RR 0.77 (0.66–0.91), high certainty</w:t>
            </w:r>
          </w:p>
        </w:tc>
      </w:tr>
      <w:tr w:rsidR="00196639" w14:paraId="1F45E9D0" w14:textId="77777777">
        <w:tc>
          <w:tcPr>
            <w:tcW w:w="2640" w:type="dxa"/>
          </w:tcPr>
          <w:p w14:paraId="087D992C" w14:textId="77777777" w:rsidR="00196639" w:rsidRDefault="00000000">
            <w:pPr>
              <w:pStyle w:val="Compact"/>
            </w:pPr>
            <w:r>
              <w:t>Immediate KMC vs care until stabilisation — 28-day mortality</w:t>
            </w:r>
          </w:p>
        </w:tc>
        <w:tc>
          <w:tcPr>
            <w:tcW w:w="2640" w:type="dxa"/>
          </w:tcPr>
          <w:p w14:paraId="5569EC99" w14:textId="77777777" w:rsidR="00196639" w:rsidRDefault="00000000">
            <w:pPr>
              <w:pStyle w:val="Compact"/>
            </w:pPr>
            <w:r>
              <w:t xml:space="preserve">Infants </w:t>
            </w:r>
            <w:r>
              <w:rPr>
                <w:b/>
                <w:bCs/>
              </w:rPr>
              <w:t>1.0–1.799 kg</w:t>
            </w:r>
            <w:r>
              <w:t>, 5 countries, 3,211 infants</w:t>
            </w:r>
          </w:p>
        </w:tc>
        <w:tc>
          <w:tcPr>
            <w:tcW w:w="2640" w:type="dxa"/>
          </w:tcPr>
          <w:p w14:paraId="5BA68B96" w14:textId="77777777" w:rsidR="00196639" w:rsidRDefault="00000000">
            <w:pPr>
              <w:pStyle w:val="Compact"/>
            </w:pPr>
            <w:r>
              <w:t xml:space="preserve">12.0% vs 15.7%, </w:t>
            </w:r>
            <w:r>
              <w:rPr>
                <w:b/>
                <w:bCs/>
              </w:rPr>
              <w:t>RR 0.75 (0.64–0.89)</w:t>
            </w:r>
          </w:p>
        </w:tc>
      </w:tr>
    </w:tbl>
    <w:p w14:paraId="58278EC0" w14:textId="77777777" w:rsidR="00196639" w:rsidRDefault="00000000">
      <w:pPr>
        <w:pStyle w:val="BodyText"/>
      </w:pPr>
      <w:r>
        <w:rPr>
          <w:b/>
          <w:bCs/>
        </w:rPr>
        <w:t>This is the strongest clinical result in the review, and it applies to small and sick newborns — not to newborns generally.</w:t>
      </w:r>
      <w:r>
        <w:t xml:space="preserve"> The eligible population is preterm and low-birth-weight infants, roughly one birth in seven in low- and middle-income countries and closer to one in four in South Asia. The benefit is greater at eight or more hours a day.</w:t>
      </w:r>
    </w:p>
    <w:p w14:paraId="009C52D1" w14:textId="77777777" w:rsidR="00196639" w:rsidRDefault="00000000">
      <w:pPr>
        <w:pStyle w:val="BodyText"/>
      </w:pPr>
      <w:r>
        <w:rPr>
          <w:b/>
          <w:bCs/>
        </w:rPr>
        <w:t>It carries the strongest normative backing of anything here.</w:t>
      </w:r>
      <w:r>
        <w:t xml:space="preserve"> WHO’s 2022 recommendations for care of the preterm or low-birth-weight infant state that kangaroo mother care should begin </w:t>
      </w:r>
      <w:r>
        <w:rPr>
          <w:b/>
          <w:bCs/>
        </w:rPr>
        <w:t>as soon as possible after birth — a strong recommendation on high-certainty evidence.</w:t>
      </w:r>
    </w:p>
    <w:p w14:paraId="0821C118" w14:textId="77777777" w:rsidR="00196639" w:rsidRDefault="00000000">
      <w:pPr>
        <w:pStyle w:val="BodyText"/>
      </w:pPr>
      <w:r>
        <w:rPr>
          <w:b/>
          <w:bCs/>
        </w:rPr>
        <w:t>It is facility-dependent.</w:t>
      </w:r>
      <w:r>
        <w:t xml:space="preserve"> KMC requires no commodity, but it does require mother and newborn to be kept together with clinical monitoring. That is a ward-configuration and staffing question, and facility delivery coverage bounds what it can reach.</w:t>
      </w:r>
    </w:p>
    <w:p w14:paraId="11F96CCC" w14:textId="77777777" w:rsidR="00196639" w:rsidRDefault="00000000">
      <w:pPr>
        <w:pStyle w:val="Heading2"/>
      </w:pPr>
      <w:bookmarkStart w:id="5" w:name="X978b9062505e41c7d778c38158b31b0a8e13951"/>
      <w:bookmarkEnd w:id="4"/>
      <w:r>
        <w:t>2.4 Breastfeeding, Package B — community and CHW postnatal support</w:t>
      </w:r>
    </w:p>
    <w:tbl>
      <w:tblPr>
        <w:tblStyle w:val="Table0"/>
        <w:tblW w:w="5000" w:type="pct"/>
        <w:tblInd w:w="100" w:type="dxa"/>
        <w:tblLayout w:type="fixed"/>
        <w:tblLook w:val="0020" w:firstRow="1" w:lastRow="0" w:firstColumn="0" w:lastColumn="0" w:noHBand="0" w:noVBand="0"/>
      </w:tblPr>
      <w:tblGrid>
        <w:gridCol w:w="4780"/>
        <w:gridCol w:w="4780"/>
      </w:tblGrid>
      <w:tr w:rsidR="00196639" w14:paraId="53F8E187"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CF7A22" w14:textId="77777777" w:rsidR="00196639" w:rsidRDefault="00000000">
            <w:pPr>
              <w:pStyle w:val="Compact"/>
            </w:pPr>
            <w:r>
              <w:t>Finding</w:t>
            </w:r>
          </w:p>
        </w:tc>
        <w:tc>
          <w:tcPr>
            <w:tcW w:w="3960" w:type="dxa"/>
          </w:tcPr>
          <w:p w14:paraId="3A8D2608" w14:textId="77777777" w:rsidR="00196639" w:rsidRDefault="00000000">
            <w:pPr>
              <w:pStyle w:val="Compact"/>
            </w:pPr>
            <w:r>
              <w:t>Estimate</w:t>
            </w:r>
          </w:p>
        </w:tc>
      </w:tr>
      <w:tr w:rsidR="00196639" w14:paraId="45F948A0" w14:textId="77777777">
        <w:tc>
          <w:tcPr>
            <w:tcW w:w="3960" w:type="dxa"/>
          </w:tcPr>
          <w:p w14:paraId="0DF0C765" w14:textId="77777777" w:rsidR="00196639" w:rsidRDefault="00000000">
            <w:pPr>
              <w:pStyle w:val="Compact"/>
            </w:pPr>
            <w:r>
              <w:t xml:space="preserve">‘Breastfeeding only’ support vs usual care — stopping </w:t>
            </w:r>
            <w:r>
              <w:rPr>
                <w:b/>
                <w:bCs/>
              </w:rPr>
              <w:t>exclusive</w:t>
            </w:r>
            <w:r>
              <w:t xml:space="preserve"> breastfeeding at 6 months</w:t>
            </w:r>
          </w:p>
        </w:tc>
        <w:tc>
          <w:tcPr>
            <w:tcW w:w="3960" w:type="dxa"/>
          </w:tcPr>
          <w:p w14:paraId="691E2EE0" w14:textId="77777777" w:rsidR="00196639" w:rsidRDefault="00000000">
            <w:pPr>
              <w:pStyle w:val="Compact"/>
            </w:pPr>
            <w:r>
              <w:rPr>
                <w:b/>
                <w:bCs/>
              </w:rPr>
              <w:t>RR 0.90 (0.88–0.93)</w:t>
            </w:r>
            <w:r>
              <w:t>, moderate certainty</w:t>
            </w:r>
          </w:p>
        </w:tc>
      </w:tr>
      <w:tr w:rsidR="00196639" w14:paraId="111FA455" w14:textId="77777777">
        <w:tc>
          <w:tcPr>
            <w:tcW w:w="3960" w:type="dxa"/>
          </w:tcPr>
          <w:p w14:paraId="076408A1" w14:textId="77777777" w:rsidR="00196639" w:rsidRDefault="00000000">
            <w:pPr>
              <w:pStyle w:val="Compact"/>
            </w:pPr>
            <w:r>
              <w:t>— stopping exclusive breastfeeding at 4–6 weeks</w:t>
            </w:r>
          </w:p>
        </w:tc>
        <w:tc>
          <w:tcPr>
            <w:tcW w:w="3960" w:type="dxa"/>
          </w:tcPr>
          <w:p w14:paraId="23ABCE8C" w14:textId="77777777" w:rsidR="00196639" w:rsidRDefault="00000000">
            <w:pPr>
              <w:pStyle w:val="Compact"/>
            </w:pPr>
            <w:r>
              <w:t>RR 0.83 (0.76–0.90), moderate certainty</w:t>
            </w:r>
          </w:p>
        </w:tc>
      </w:tr>
      <w:tr w:rsidR="00196639" w14:paraId="6659C7DC" w14:textId="77777777">
        <w:tc>
          <w:tcPr>
            <w:tcW w:w="3960" w:type="dxa"/>
          </w:tcPr>
          <w:p w14:paraId="05F011B2" w14:textId="77777777" w:rsidR="00196639" w:rsidRDefault="00000000">
            <w:pPr>
              <w:pStyle w:val="Compact"/>
            </w:pPr>
            <w:r>
              <w:t>— stopping any breastfeeding at 6 months</w:t>
            </w:r>
          </w:p>
        </w:tc>
        <w:tc>
          <w:tcPr>
            <w:tcW w:w="3960" w:type="dxa"/>
          </w:tcPr>
          <w:p w14:paraId="65E391B5" w14:textId="77777777" w:rsidR="00196639" w:rsidRDefault="00000000">
            <w:pPr>
              <w:pStyle w:val="Compact"/>
            </w:pPr>
            <w:r>
              <w:t>RR 0.93 (0.89–0.97), moderate certainty</w:t>
            </w:r>
          </w:p>
        </w:tc>
      </w:tr>
      <w:tr w:rsidR="00196639" w14:paraId="07B7569A" w14:textId="77777777">
        <w:tc>
          <w:tcPr>
            <w:tcW w:w="3960" w:type="dxa"/>
          </w:tcPr>
          <w:p w14:paraId="1D552D79" w14:textId="77777777" w:rsidR="00196639" w:rsidRDefault="00000000">
            <w:pPr>
              <w:pStyle w:val="Compact"/>
            </w:pPr>
            <w:r>
              <w:t xml:space="preserve">Community-based intervention </w:t>
            </w:r>
            <w:r>
              <w:rPr>
                <w:b/>
                <w:bCs/>
              </w:rPr>
              <w:t>packages</w:t>
            </w:r>
            <w:r>
              <w:t xml:space="preserve"> — neonatal mortality</w:t>
            </w:r>
          </w:p>
        </w:tc>
        <w:tc>
          <w:tcPr>
            <w:tcW w:w="3960" w:type="dxa"/>
          </w:tcPr>
          <w:p w14:paraId="67BE39AB" w14:textId="77777777" w:rsidR="00196639" w:rsidRDefault="00000000">
            <w:pPr>
              <w:pStyle w:val="Compact"/>
            </w:pPr>
            <w:r>
              <w:rPr>
                <w:b/>
                <w:bCs/>
              </w:rPr>
              <w:t>RR 0.75 (0.67–0.83)</w:t>
            </w:r>
            <w:r>
              <w:t>, 21 studies, n=302,646</w:t>
            </w:r>
          </w:p>
        </w:tc>
      </w:tr>
      <w:tr w:rsidR="00196639" w14:paraId="26E511AC" w14:textId="77777777">
        <w:tc>
          <w:tcPr>
            <w:tcW w:w="3960" w:type="dxa"/>
          </w:tcPr>
          <w:p w14:paraId="1F8200A1" w14:textId="77777777" w:rsidR="00196639" w:rsidRDefault="00000000">
            <w:pPr>
              <w:pStyle w:val="Compact"/>
            </w:pPr>
            <w:r>
              <w:t>— perinatal mortality / stillbirth</w:t>
            </w:r>
          </w:p>
        </w:tc>
        <w:tc>
          <w:tcPr>
            <w:tcW w:w="3960" w:type="dxa"/>
          </w:tcPr>
          <w:p w14:paraId="595EDA2F" w14:textId="77777777" w:rsidR="00196639" w:rsidRDefault="00000000">
            <w:pPr>
              <w:pStyle w:val="Compact"/>
            </w:pPr>
            <w:r>
              <w:t>RR 0.78 (0.70–0.86) / RR 0.81 (0.73–0.91)</w:t>
            </w:r>
          </w:p>
        </w:tc>
      </w:tr>
      <w:tr w:rsidR="00196639" w14:paraId="068D8FFB" w14:textId="77777777">
        <w:tc>
          <w:tcPr>
            <w:tcW w:w="3960" w:type="dxa"/>
          </w:tcPr>
          <w:p w14:paraId="3CE3A9BC" w14:textId="77777777" w:rsidR="00196639" w:rsidRDefault="00000000">
            <w:pPr>
              <w:pStyle w:val="Compact"/>
            </w:pPr>
            <w:r>
              <w:t>— early initiation of breastfeeding</w:t>
            </w:r>
          </w:p>
        </w:tc>
        <w:tc>
          <w:tcPr>
            <w:tcW w:w="3960" w:type="dxa"/>
          </w:tcPr>
          <w:p w14:paraId="04F35842" w14:textId="77777777" w:rsidR="00196639" w:rsidRDefault="00000000">
            <w:pPr>
              <w:pStyle w:val="Compact"/>
            </w:pPr>
            <w:r>
              <w:t>RR 1.93 (1.55–2.39)</w:t>
            </w:r>
          </w:p>
        </w:tc>
      </w:tr>
    </w:tbl>
    <w:p w14:paraId="7FD945E7" w14:textId="77777777" w:rsidR="00196639" w:rsidRDefault="00000000">
      <w:pPr>
        <w:pStyle w:val="BodyText"/>
      </w:pPr>
      <w:r>
        <w:t>Sources: Cochrane CD001141.pub6 (116 trials, &gt;98,816 mother–infant pairs); Cochrane CD007754.pub3.</w:t>
      </w:r>
    </w:p>
    <w:p w14:paraId="4D5BB830" w14:textId="77777777" w:rsidR="00196639" w:rsidRDefault="00000000">
      <w:pPr>
        <w:pStyle w:val="BodyText"/>
      </w:pPr>
      <w:r>
        <w:rPr>
          <w:b/>
          <w:bCs/>
        </w:rPr>
        <w:t>Individual counselling produces modest, consistent gains. Packages produce mortality benefits.</w:t>
      </w:r>
      <w:r>
        <w:t xml:space="preserve"> The community packages that reduce neonatal mortality bundle breastfeeding support with tetanus immunisation, clean and skilled delivery care, newborn resuscitation and cord care — so the mortality benefit belongs to the package, not to breastfeeding support alone.</w:t>
      </w:r>
    </w:p>
    <w:p w14:paraId="52B5DA49" w14:textId="77777777" w:rsidR="00196639" w:rsidRDefault="00000000">
      <w:pPr>
        <w:pStyle w:val="BodyText"/>
      </w:pPr>
      <w:r>
        <w:rPr>
          <w:b/>
          <w:bCs/>
        </w:rPr>
        <w:lastRenderedPageBreak/>
        <w:t>The provider is not the active ingredient.</w:t>
      </w:r>
      <w:r>
        <w:t xml:space="preserve"> Cochrane’s meta-regression found no differential effect by who delivers support; it may be offered by professionals, peers, or a combination. Design the package and its intensity, not the cadre.</w:t>
      </w:r>
    </w:p>
    <w:p w14:paraId="2583FBFC" w14:textId="77777777" w:rsidR="00196639" w:rsidRDefault="00000000">
      <w:pPr>
        <w:pStyle w:val="BodyText"/>
      </w:pPr>
      <w:r>
        <w:rPr>
          <w:b/>
          <w:bCs/>
        </w:rPr>
        <w:t>Contact intensity matters.</w:t>
      </w:r>
      <w:r>
        <w:t xml:space="preserve"> Moderate levels of support — four to eight contacts — are associated with better exclusive breastfeeding at 4–6 weeks and at six months than fewer.</w:t>
      </w:r>
    </w:p>
    <w:p w14:paraId="5366C7BD" w14:textId="77777777" w:rsidR="00196639" w:rsidRDefault="00000000">
      <w:pPr>
        <w:pStyle w:val="BodyText"/>
      </w:pPr>
      <w:r>
        <w:rPr>
          <w:b/>
          <w:bCs/>
        </w:rPr>
        <w:t>The two packages are complements, not alternatives.</w:t>
      </w:r>
      <w:r>
        <w:t xml:space="preserve"> Package A supplies a mortality benefit in a small high-risk population and the initiation moment; Package B supplies the repeated contact that sustains exclusive breastfeeding to six months. Neither produces the other’s outcome.</w:t>
      </w:r>
    </w:p>
    <w:p w14:paraId="29098BA8" w14:textId="77777777" w:rsidR="00196639" w:rsidRDefault="00000000">
      <w:pPr>
        <w:pStyle w:val="Heading2"/>
      </w:pPr>
      <w:bookmarkStart w:id="6" w:name="antenatal-mms"/>
      <w:bookmarkEnd w:id="5"/>
      <w:r>
        <w:t>2.5 Antenatal MMS</w:t>
      </w:r>
    </w:p>
    <w:p w14:paraId="6E3F7861" w14:textId="77777777" w:rsidR="00196639" w:rsidRDefault="00000000">
      <w:pPr>
        <w:pStyle w:val="FirstParagraph"/>
      </w:pPr>
      <w:r>
        <w:t>MMS versus iron-folic acid, from the Cochrane review (CD004905):</w:t>
      </w:r>
    </w:p>
    <w:tbl>
      <w:tblPr>
        <w:tblStyle w:val="Table0"/>
        <w:tblW w:w="0" w:type="auto"/>
        <w:tblInd w:w="100" w:type="dxa"/>
        <w:tblLook w:val="0020" w:firstRow="1" w:lastRow="0" w:firstColumn="0" w:lastColumn="0" w:noHBand="0" w:noVBand="0"/>
      </w:tblPr>
      <w:tblGrid>
        <w:gridCol w:w="2463"/>
        <w:gridCol w:w="2113"/>
        <w:gridCol w:w="1099"/>
      </w:tblGrid>
      <w:tr w:rsidR="00196639" w14:paraId="1B55E457"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0" w:type="auto"/>
          </w:tcPr>
          <w:p w14:paraId="13FA24F7" w14:textId="77777777" w:rsidR="00196639" w:rsidRDefault="00000000">
            <w:pPr>
              <w:pStyle w:val="Compact"/>
            </w:pPr>
            <w:r>
              <w:t>Outcome</w:t>
            </w:r>
          </w:p>
        </w:tc>
        <w:tc>
          <w:tcPr>
            <w:tcW w:w="0" w:type="auto"/>
          </w:tcPr>
          <w:p w14:paraId="7E68D7A4" w14:textId="77777777" w:rsidR="00196639" w:rsidRDefault="00000000">
            <w:pPr>
              <w:pStyle w:val="Compact"/>
            </w:pPr>
            <w:r>
              <w:t>Estimate</w:t>
            </w:r>
          </w:p>
        </w:tc>
        <w:tc>
          <w:tcPr>
            <w:tcW w:w="0" w:type="auto"/>
          </w:tcPr>
          <w:p w14:paraId="1725AC76" w14:textId="77777777" w:rsidR="00196639" w:rsidRDefault="00000000">
            <w:pPr>
              <w:pStyle w:val="Compact"/>
            </w:pPr>
            <w:r>
              <w:t>Certainty</w:t>
            </w:r>
          </w:p>
        </w:tc>
      </w:tr>
      <w:tr w:rsidR="00196639" w14:paraId="47278A10" w14:textId="77777777">
        <w:tc>
          <w:tcPr>
            <w:tcW w:w="0" w:type="auto"/>
          </w:tcPr>
          <w:p w14:paraId="49259D4B" w14:textId="77777777" w:rsidR="00196639" w:rsidRDefault="00000000">
            <w:pPr>
              <w:pStyle w:val="Compact"/>
            </w:pPr>
            <w:r>
              <w:rPr>
                <w:b/>
                <w:bCs/>
              </w:rPr>
              <w:t>Low birthweight</w:t>
            </w:r>
          </w:p>
        </w:tc>
        <w:tc>
          <w:tcPr>
            <w:tcW w:w="0" w:type="auto"/>
          </w:tcPr>
          <w:p w14:paraId="43102F39" w14:textId="77777777" w:rsidR="00196639" w:rsidRDefault="00000000">
            <w:pPr>
              <w:pStyle w:val="Compact"/>
            </w:pPr>
            <w:r>
              <w:rPr>
                <w:b/>
                <w:bCs/>
              </w:rPr>
              <w:t>RR 0.88 (0.85–0.91)</w:t>
            </w:r>
          </w:p>
        </w:tc>
        <w:tc>
          <w:tcPr>
            <w:tcW w:w="0" w:type="auto"/>
          </w:tcPr>
          <w:p w14:paraId="5EF0638A" w14:textId="77777777" w:rsidR="00196639" w:rsidRDefault="00000000">
            <w:pPr>
              <w:pStyle w:val="Compact"/>
            </w:pPr>
            <w:r>
              <w:rPr>
                <w:b/>
                <w:bCs/>
              </w:rPr>
              <w:t>High</w:t>
            </w:r>
          </w:p>
        </w:tc>
      </w:tr>
      <w:tr w:rsidR="00196639" w14:paraId="2445A999" w14:textId="77777777">
        <w:tc>
          <w:tcPr>
            <w:tcW w:w="0" w:type="auto"/>
          </w:tcPr>
          <w:p w14:paraId="52E854FD" w14:textId="77777777" w:rsidR="00196639" w:rsidRDefault="00000000">
            <w:pPr>
              <w:pStyle w:val="Compact"/>
            </w:pPr>
            <w:r>
              <w:t>Small-for-gestational-age</w:t>
            </w:r>
          </w:p>
        </w:tc>
        <w:tc>
          <w:tcPr>
            <w:tcW w:w="0" w:type="auto"/>
          </w:tcPr>
          <w:p w14:paraId="36114B32" w14:textId="77777777" w:rsidR="00196639" w:rsidRDefault="00000000">
            <w:pPr>
              <w:pStyle w:val="Compact"/>
            </w:pPr>
            <w:r>
              <w:t>RR 0.92 (0.88–0.97)</w:t>
            </w:r>
          </w:p>
        </w:tc>
        <w:tc>
          <w:tcPr>
            <w:tcW w:w="0" w:type="auto"/>
          </w:tcPr>
          <w:p w14:paraId="507E9C79" w14:textId="77777777" w:rsidR="00196639" w:rsidRDefault="00000000">
            <w:pPr>
              <w:pStyle w:val="Compact"/>
            </w:pPr>
            <w:r>
              <w:t>Moderate</w:t>
            </w:r>
          </w:p>
        </w:tc>
      </w:tr>
      <w:tr w:rsidR="00196639" w14:paraId="62499119" w14:textId="77777777">
        <w:tc>
          <w:tcPr>
            <w:tcW w:w="0" w:type="auto"/>
          </w:tcPr>
          <w:p w14:paraId="1F880BAE" w14:textId="77777777" w:rsidR="00196639" w:rsidRDefault="00000000">
            <w:pPr>
              <w:pStyle w:val="Compact"/>
            </w:pPr>
            <w:r>
              <w:t>Preterm birth</w:t>
            </w:r>
          </w:p>
        </w:tc>
        <w:tc>
          <w:tcPr>
            <w:tcW w:w="0" w:type="auto"/>
          </w:tcPr>
          <w:p w14:paraId="4134D56C" w14:textId="77777777" w:rsidR="00196639" w:rsidRDefault="00000000">
            <w:pPr>
              <w:pStyle w:val="Compact"/>
            </w:pPr>
            <w:r>
              <w:t>RR 0.95 (0.90–1.01)</w:t>
            </w:r>
          </w:p>
        </w:tc>
        <w:tc>
          <w:tcPr>
            <w:tcW w:w="0" w:type="auto"/>
          </w:tcPr>
          <w:p w14:paraId="22EC6774" w14:textId="77777777" w:rsidR="00196639" w:rsidRDefault="00000000">
            <w:pPr>
              <w:pStyle w:val="Compact"/>
            </w:pPr>
            <w:r>
              <w:t>Moderate</w:t>
            </w:r>
          </w:p>
        </w:tc>
      </w:tr>
      <w:tr w:rsidR="00196639" w14:paraId="560EF6DE" w14:textId="77777777">
        <w:tc>
          <w:tcPr>
            <w:tcW w:w="0" w:type="auto"/>
          </w:tcPr>
          <w:p w14:paraId="3B50629F" w14:textId="77777777" w:rsidR="00196639" w:rsidRDefault="00000000">
            <w:pPr>
              <w:pStyle w:val="Compact"/>
            </w:pPr>
            <w:r>
              <w:t>Perinatal mortality</w:t>
            </w:r>
          </w:p>
        </w:tc>
        <w:tc>
          <w:tcPr>
            <w:tcW w:w="0" w:type="auto"/>
          </w:tcPr>
          <w:p w14:paraId="15E42EE1" w14:textId="77777777" w:rsidR="00196639" w:rsidRDefault="00000000">
            <w:pPr>
              <w:pStyle w:val="Compact"/>
            </w:pPr>
            <w:r>
              <w:t>RR 1.00 (0.90–1.11)</w:t>
            </w:r>
          </w:p>
        </w:tc>
        <w:tc>
          <w:tcPr>
            <w:tcW w:w="0" w:type="auto"/>
          </w:tcPr>
          <w:p w14:paraId="6DE71B4B" w14:textId="77777777" w:rsidR="00196639" w:rsidRDefault="00000000">
            <w:pPr>
              <w:pStyle w:val="Compact"/>
            </w:pPr>
            <w:r>
              <w:t>High</w:t>
            </w:r>
          </w:p>
        </w:tc>
      </w:tr>
      <w:tr w:rsidR="00196639" w14:paraId="0ED9C398" w14:textId="77777777">
        <w:tc>
          <w:tcPr>
            <w:tcW w:w="0" w:type="auto"/>
          </w:tcPr>
          <w:p w14:paraId="17218EC6" w14:textId="77777777" w:rsidR="00196639" w:rsidRDefault="00000000">
            <w:pPr>
              <w:pStyle w:val="Compact"/>
            </w:pPr>
            <w:r>
              <w:t>Neonatal mortality</w:t>
            </w:r>
          </w:p>
        </w:tc>
        <w:tc>
          <w:tcPr>
            <w:tcW w:w="0" w:type="auto"/>
          </w:tcPr>
          <w:p w14:paraId="7D6EF986" w14:textId="77777777" w:rsidR="00196639" w:rsidRDefault="00000000">
            <w:pPr>
              <w:pStyle w:val="Compact"/>
            </w:pPr>
            <w:r>
              <w:t>RR 1.00 (0.89–1.12)</w:t>
            </w:r>
          </w:p>
        </w:tc>
        <w:tc>
          <w:tcPr>
            <w:tcW w:w="0" w:type="auto"/>
          </w:tcPr>
          <w:p w14:paraId="25678158" w14:textId="77777777" w:rsidR="00196639" w:rsidRDefault="00000000">
            <w:pPr>
              <w:pStyle w:val="Compact"/>
            </w:pPr>
            <w:r>
              <w:t>High</w:t>
            </w:r>
          </w:p>
        </w:tc>
      </w:tr>
      <w:tr w:rsidR="00196639" w14:paraId="6A2B9F44" w14:textId="77777777">
        <w:tc>
          <w:tcPr>
            <w:tcW w:w="0" w:type="auto"/>
          </w:tcPr>
          <w:p w14:paraId="533161A7" w14:textId="77777777" w:rsidR="00196639" w:rsidRDefault="00000000">
            <w:pPr>
              <w:pStyle w:val="Compact"/>
            </w:pPr>
            <w:r>
              <w:t>Maternal mortality</w:t>
            </w:r>
          </w:p>
        </w:tc>
        <w:tc>
          <w:tcPr>
            <w:tcW w:w="0" w:type="auto"/>
          </w:tcPr>
          <w:p w14:paraId="287C2FCB" w14:textId="77777777" w:rsidR="00196639" w:rsidRDefault="00000000">
            <w:pPr>
              <w:pStyle w:val="Compact"/>
            </w:pPr>
            <w:r>
              <w:t>RR 1.06 (0.72–1.54)</w:t>
            </w:r>
          </w:p>
        </w:tc>
        <w:tc>
          <w:tcPr>
            <w:tcW w:w="0" w:type="auto"/>
          </w:tcPr>
          <w:p w14:paraId="3F423658" w14:textId="77777777" w:rsidR="00196639" w:rsidRDefault="00000000">
            <w:pPr>
              <w:pStyle w:val="Compact"/>
            </w:pPr>
            <w:r>
              <w:t>—</w:t>
            </w:r>
          </w:p>
        </w:tc>
      </w:tr>
    </w:tbl>
    <w:p w14:paraId="2689D09E" w14:textId="77777777" w:rsidR="00196639" w:rsidRDefault="00000000">
      <w:pPr>
        <w:pStyle w:val="BodyText"/>
      </w:pPr>
      <w:r>
        <w:rPr>
          <w:b/>
          <w:bCs/>
        </w:rPr>
        <w:t>MMS reliably produces bigger, more mature babies than iron-folic acid. Present it on birth outcomes, which are settled at high certainty, rather than on survival, which is not.</w:t>
      </w:r>
    </w:p>
    <w:p w14:paraId="1014F9DE" w14:textId="77777777" w:rsidR="00196639" w:rsidRDefault="00000000">
      <w:pPr>
        <w:pStyle w:val="BodyText"/>
      </w:pPr>
      <w:r>
        <w:rPr>
          <w:b/>
          <w:bCs/>
        </w:rPr>
        <w:t>Where MMS’s advantage is largest is known, and it is the most useful targeting rule in this review.</w:t>
      </w:r>
      <w:r>
        <w:t xml:space="preserve"> An individual-participant meta-analysis of 17 trials and 112,953 women found greater reductions in low birthweight, small-for-gestational-age and six-month mortality in </w:t>
      </w:r>
      <w:r>
        <w:rPr>
          <w:b/>
          <w:bCs/>
        </w:rPr>
        <w:t>anaemic women</w:t>
      </w:r>
      <w:r>
        <w:t xml:space="preserve">; a greater effect on preterm birth in </w:t>
      </w:r>
      <w:r>
        <w:rPr>
          <w:b/>
          <w:bCs/>
        </w:rPr>
        <w:t>underweight women</w:t>
      </w:r>
      <w:r>
        <w:t xml:space="preserve">; and a greater neonatal mortality reduction in </w:t>
      </w:r>
      <w:r>
        <w:rPr>
          <w:b/>
          <w:bCs/>
        </w:rPr>
        <w:t>female infants</w:t>
      </w:r>
      <w:r>
        <w:t>. MMS’s benefit over iron-folic acid concentrates where maternal anaemia and undernutrition are high.</w:t>
      </w:r>
    </w:p>
    <w:p w14:paraId="0FC28388" w14:textId="77777777" w:rsidR="00196639" w:rsidRDefault="00000000">
      <w:pPr>
        <w:pStyle w:val="BodyText"/>
      </w:pPr>
      <w:r>
        <w:rPr>
          <w:b/>
          <w:bCs/>
        </w:rPr>
        <w:t>An earlier safety concern has been resolved.</w:t>
      </w:r>
      <w:r>
        <w:t xml:space="preserve"> The 2016 WHO guidance raised the possibility that MMS increased neonatal mortality where most births occur at home, based on an exploratory subgroup analysis. A subsequent re-analysis of the individual-participant data found no evidence supporting that risk across the subgroups examined. It is a country-selection consideration, not a disqualifier.</w:t>
      </w:r>
    </w:p>
    <w:p w14:paraId="343CAFA1" w14:textId="77777777" w:rsidR="00196639" w:rsidRDefault="00FF2E54">
      <w:r>
        <w:rPr>
          <w:noProof/>
        </w:rPr>
      </w:r>
      <w:r>
        <w:pict w14:anchorId="75871158">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2A884F" w14:textId="77777777" w:rsidR="00196639" w:rsidRDefault="00000000">
      <w:pPr>
        <w:pStyle w:val="Heading1"/>
      </w:pPr>
      <w:bookmarkStart w:id="7" w:name="what-each-one-buys"/>
      <w:bookmarkEnd w:id="1"/>
      <w:bookmarkEnd w:id="6"/>
      <w:r>
        <w:t>3. What each one buys</w:t>
      </w:r>
    </w:p>
    <w:tbl>
      <w:tblPr>
        <w:tblStyle w:val="Table0"/>
        <w:tblW w:w="5000" w:type="pct"/>
        <w:tblInd w:w="100" w:type="dxa"/>
        <w:tblLayout w:type="fixed"/>
        <w:tblLook w:val="0020" w:firstRow="1" w:lastRow="0" w:firstColumn="0" w:lastColumn="0" w:noHBand="0" w:noVBand="0"/>
      </w:tblPr>
      <w:tblGrid>
        <w:gridCol w:w="3186"/>
        <w:gridCol w:w="3187"/>
        <w:gridCol w:w="3187"/>
      </w:tblGrid>
      <w:tr w:rsidR="00196639" w14:paraId="21561E8E"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BC09DA" w14:textId="77777777" w:rsidR="00196639" w:rsidRDefault="00000000">
            <w:pPr>
              <w:pStyle w:val="Compact"/>
            </w:pPr>
            <w:r>
              <w:t>Intervention</w:t>
            </w:r>
          </w:p>
        </w:tc>
        <w:tc>
          <w:tcPr>
            <w:tcW w:w="2640" w:type="dxa"/>
          </w:tcPr>
          <w:p w14:paraId="29D2D127" w14:textId="77777777" w:rsidR="00196639" w:rsidRDefault="00000000">
            <w:pPr>
              <w:pStyle w:val="Compact"/>
            </w:pPr>
            <w:r>
              <w:t>Cost-effectiveness</w:t>
            </w:r>
          </w:p>
        </w:tc>
        <w:tc>
          <w:tcPr>
            <w:tcW w:w="2640" w:type="dxa"/>
          </w:tcPr>
          <w:p w14:paraId="17AEA0A8" w14:textId="77777777" w:rsidR="00196639" w:rsidRDefault="00000000">
            <w:pPr>
              <w:pStyle w:val="Compact"/>
            </w:pPr>
            <w:r>
              <w:t>Unit costs</w:t>
            </w:r>
          </w:p>
        </w:tc>
      </w:tr>
      <w:tr w:rsidR="00196639" w14:paraId="54F061CC" w14:textId="77777777">
        <w:tc>
          <w:tcPr>
            <w:tcW w:w="2640" w:type="dxa"/>
          </w:tcPr>
          <w:p w14:paraId="7FDEF909" w14:textId="77777777" w:rsidR="00196639" w:rsidRDefault="00000000">
            <w:pPr>
              <w:pStyle w:val="Compact"/>
            </w:pPr>
            <w:r>
              <w:rPr>
                <w:b/>
                <w:bCs/>
              </w:rPr>
              <w:lastRenderedPageBreak/>
              <w:t>CMAM, community-delivered</w:t>
            </w:r>
          </w:p>
        </w:tc>
        <w:tc>
          <w:tcPr>
            <w:tcW w:w="2640" w:type="dxa"/>
          </w:tcPr>
          <w:p w14:paraId="2804CB1A" w14:textId="77777777" w:rsidR="00196639" w:rsidRDefault="00000000">
            <w:pPr>
              <w:pStyle w:val="Compact"/>
            </w:pPr>
            <w:r>
              <w:rPr>
                <w:b/>
                <w:bCs/>
              </w:rPr>
              <w:t>US$26 per DALY averted (21–31)</w:t>
            </w:r>
            <w:r>
              <w:t>, Bangladesh, societal perspective, 2010 USD</w:t>
            </w:r>
          </w:p>
        </w:tc>
        <w:tc>
          <w:tcPr>
            <w:tcW w:w="2640" w:type="dxa"/>
          </w:tcPr>
          <w:p w14:paraId="5AF06F72" w14:textId="77777777" w:rsidR="00196639" w:rsidRDefault="00000000">
            <w:pPr>
              <w:pStyle w:val="Compact"/>
            </w:pPr>
            <w:r>
              <w:t xml:space="preserve">$165 per child treated, $180 per child recovered. Inpatient comparator: </w:t>
            </w:r>
            <w:r>
              <w:rPr>
                <w:b/>
                <w:bCs/>
              </w:rPr>
              <w:t>$1,344 per DALY</w:t>
            </w:r>
          </w:p>
        </w:tc>
      </w:tr>
      <w:tr w:rsidR="00196639" w14:paraId="0A44BB31" w14:textId="77777777">
        <w:tc>
          <w:tcPr>
            <w:tcW w:w="2640" w:type="dxa"/>
          </w:tcPr>
          <w:p w14:paraId="24E4B2D7" w14:textId="77777777" w:rsidR="00196639" w:rsidRDefault="00000000">
            <w:pPr>
              <w:pStyle w:val="Compact"/>
            </w:pPr>
            <w:r>
              <w:rPr>
                <w:b/>
                <w:bCs/>
              </w:rPr>
              <w:t>CMAM, community-delivered</w:t>
            </w:r>
          </w:p>
        </w:tc>
        <w:tc>
          <w:tcPr>
            <w:tcW w:w="2640" w:type="dxa"/>
          </w:tcPr>
          <w:p w14:paraId="74ADB2E0" w14:textId="77777777" w:rsidR="00196639" w:rsidRDefault="00000000">
            <w:pPr>
              <w:pStyle w:val="Compact"/>
            </w:pPr>
            <w:r>
              <w:rPr>
                <w:b/>
                <w:bCs/>
              </w:rPr>
              <w:t>US$42 per DALY averted</w:t>
            </w:r>
            <w:r>
              <w:t>, Malawi, 2007 USD (worst case $493)</w:t>
            </w:r>
          </w:p>
        </w:tc>
        <w:tc>
          <w:tcPr>
            <w:tcW w:w="2640" w:type="dxa"/>
          </w:tcPr>
          <w:p w14:paraId="46B4343C" w14:textId="77777777" w:rsidR="00196639" w:rsidRDefault="00000000">
            <w:pPr>
              <w:pStyle w:val="Compact"/>
            </w:pPr>
            <w:r>
              <w:t>—</w:t>
            </w:r>
          </w:p>
        </w:tc>
      </w:tr>
      <w:tr w:rsidR="00196639" w14:paraId="100B0790" w14:textId="77777777">
        <w:tc>
          <w:tcPr>
            <w:tcW w:w="2640" w:type="dxa"/>
          </w:tcPr>
          <w:p w14:paraId="09CDEEAB" w14:textId="77777777" w:rsidR="00196639" w:rsidRDefault="00000000">
            <w:pPr>
              <w:pStyle w:val="Compact"/>
            </w:pPr>
            <w:r>
              <w:rPr>
                <w:b/>
                <w:bCs/>
              </w:rPr>
              <w:t>CMAM, community vs inpatient</w:t>
            </w:r>
          </w:p>
        </w:tc>
        <w:tc>
          <w:tcPr>
            <w:tcW w:w="2640" w:type="dxa"/>
          </w:tcPr>
          <w:p w14:paraId="3C49BB83" w14:textId="77777777" w:rsidR="00196639" w:rsidRDefault="00000000">
            <w:pPr>
              <w:pStyle w:val="Compact"/>
            </w:pPr>
            <w:r>
              <w:t xml:space="preserve">Community care roughly </w:t>
            </w:r>
            <w:r>
              <w:rPr>
                <w:b/>
                <w:bCs/>
              </w:rPr>
              <w:t>twice as cost-effective</w:t>
            </w:r>
            <w:r>
              <w:t>, Ethiopia</w:t>
            </w:r>
          </w:p>
        </w:tc>
        <w:tc>
          <w:tcPr>
            <w:tcW w:w="2640" w:type="dxa"/>
          </w:tcPr>
          <w:p w14:paraId="73AB5C90" w14:textId="77777777" w:rsidR="00196639" w:rsidRDefault="00000000">
            <w:pPr>
              <w:pStyle w:val="Compact"/>
            </w:pPr>
            <w:r>
              <w:t>$134.88 vs $284.56 per child treated; $145.50 vs $320.00 per child cured</w:t>
            </w:r>
          </w:p>
        </w:tc>
      </w:tr>
      <w:tr w:rsidR="00196639" w14:paraId="4B603B5B" w14:textId="77777777">
        <w:tc>
          <w:tcPr>
            <w:tcW w:w="2640" w:type="dxa"/>
          </w:tcPr>
          <w:p w14:paraId="122DCD8C" w14:textId="77777777" w:rsidR="00196639" w:rsidRDefault="00000000">
            <w:pPr>
              <w:pStyle w:val="Compact"/>
            </w:pPr>
            <w:r>
              <w:rPr>
                <w:b/>
                <w:bCs/>
              </w:rPr>
              <w:t>Simplified CMAM protocol</w:t>
            </w:r>
          </w:p>
        </w:tc>
        <w:tc>
          <w:tcPr>
            <w:tcW w:w="2640" w:type="dxa"/>
          </w:tcPr>
          <w:p w14:paraId="02332A1D" w14:textId="77777777" w:rsidR="00196639" w:rsidRDefault="00000000">
            <w:pPr>
              <w:pStyle w:val="Compact"/>
            </w:pPr>
            <w:r>
              <w:t>—</w:t>
            </w:r>
          </w:p>
        </w:tc>
        <w:tc>
          <w:tcPr>
            <w:tcW w:w="2640" w:type="dxa"/>
          </w:tcPr>
          <w:p w14:paraId="7FE33B20" w14:textId="77777777" w:rsidR="00196639" w:rsidRDefault="00000000">
            <w:pPr>
              <w:pStyle w:val="Compact"/>
            </w:pPr>
            <w:r>
              <w:rPr>
                <w:b/>
                <w:bCs/>
              </w:rPr>
              <w:t>$918 vs $1,041</w:t>
            </w:r>
            <w:r>
              <w:t xml:space="preserve"> per child recovered</w:t>
            </w:r>
          </w:p>
        </w:tc>
      </w:tr>
      <w:tr w:rsidR="00196639" w14:paraId="25AD6368" w14:textId="77777777">
        <w:tc>
          <w:tcPr>
            <w:tcW w:w="2640" w:type="dxa"/>
          </w:tcPr>
          <w:p w14:paraId="45D1DEB6" w14:textId="77777777" w:rsidR="00196639" w:rsidRDefault="00000000">
            <w:pPr>
              <w:pStyle w:val="Compact"/>
            </w:pPr>
            <w:r>
              <w:rPr>
                <w:b/>
                <w:bCs/>
              </w:rPr>
              <w:t>MMS replacing iron-folic acid</w:t>
            </w:r>
          </w:p>
        </w:tc>
        <w:tc>
          <w:tcPr>
            <w:tcW w:w="2640" w:type="dxa"/>
          </w:tcPr>
          <w:p w14:paraId="1F59BEFD" w14:textId="77777777" w:rsidR="00196639" w:rsidRDefault="00000000">
            <w:pPr>
              <w:pStyle w:val="Compact"/>
            </w:pPr>
            <w:r>
              <w:rPr>
                <w:b/>
                <w:bCs/>
              </w:rPr>
              <w:t>US$21–42 per DALY averted</w:t>
            </w:r>
            <w:r>
              <w:t xml:space="preserve"> — Bangladesh $21.26, India $31.62, Pakistan $41.54 (2016 USD, modelled)</w:t>
            </w:r>
          </w:p>
        </w:tc>
        <w:tc>
          <w:tcPr>
            <w:tcW w:w="2640" w:type="dxa"/>
          </w:tcPr>
          <w:p w14:paraId="5100C5B4" w14:textId="77777777" w:rsidR="00196639" w:rsidRDefault="00000000">
            <w:pPr>
              <w:pStyle w:val="Compact"/>
            </w:pPr>
            <w:r>
              <w:t xml:space="preserve">Marginal commodity cost </w:t>
            </w:r>
            <w:r>
              <w:rPr>
                <w:b/>
                <w:bCs/>
              </w:rPr>
              <w:t>≈ US$0.005 more per tablet</w:t>
            </w:r>
          </w:p>
        </w:tc>
      </w:tr>
      <w:tr w:rsidR="00196639" w14:paraId="0A2D9ECF" w14:textId="77777777">
        <w:tc>
          <w:tcPr>
            <w:tcW w:w="2640" w:type="dxa"/>
          </w:tcPr>
          <w:p w14:paraId="07CB5E88" w14:textId="77777777" w:rsidR="00196639" w:rsidRDefault="00000000">
            <w:pPr>
              <w:pStyle w:val="Compact"/>
            </w:pPr>
            <w:r>
              <w:rPr>
                <w:b/>
                <w:bCs/>
              </w:rPr>
              <w:t>MMS replacing iron-folic acid</w:t>
            </w:r>
          </w:p>
        </w:tc>
        <w:tc>
          <w:tcPr>
            <w:tcW w:w="2640" w:type="dxa"/>
          </w:tcPr>
          <w:p w14:paraId="1FF64167" w14:textId="77777777" w:rsidR="00196639" w:rsidRDefault="00000000">
            <w:pPr>
              <w:pStyle w:val="Compact"/>
            </w:pPr>
            <w:r>
              <w:t>US$3–15 per DALY averted; ~$183 (Bangladesh) and ~$125 (Burkina Faso) per death averted</w:t>
            </w:r>
          </w:p>
        </w:tc>
        <w:tc>
          <w:tcPr>
            <w:tcW w:w="2640" w:type="dxa"/>
          </w:tcPr>
          <w:p w14:paraId="4537D686" w14:textId="77777777" w:rsidR="00196639" w:rsidRDefault="00000000">
            <w:pPr>
              <w:pStyle w:val="Compact"/>
            </w:pPr>
            <w:r>
              <w:t>Modelled at current coverage</w:t>
            </w:r>
          </w:p>
        </w:tc>
      </w:tr>
    </w:tbl>
    <w:p w14:paraId="133233A8" w14:textId="77777777" w:rsidR="00196639" w:rsidRDefault="00000000">
      <w:pPr>
        <w:pStyle w:val="BodyText"/>
      </w:pPr>
      <w:r>
        <w:rPr>
          <w:b/>
          <w:bCs/>
        </w:rPr>
        <w:t>Three things follow.</w:t>
      </w:r>
    </w:p>
    <w:p w14:paraId="07F48050" w14:textId="77777777" w:rsidR="00196639" w:rsidRDefault="00000000">
      <w:pPr>
        <w:pStyle w:val="BodyText"/>
      </w:pPr>
      <w:r>
        <w:rPr>
          <w:b/>
          <w:bCs/>
        </w:rPr>
        <w:t>Community-based wasting treatment is a good buy</w:t>
      </w:r>
      <w:r>
        <w:t xml:space="preserve"> at $26–42 per DALY averted, and roughly twice as cost-effective as inpatient care. Note the cost composition differs: in Ethiopia, therapeutic food was 43% of community programme cost while personnel were 47% of inpatient cost. Community delivery substitutes commodity for staff, which is why RUTF price and simplified dosing dominate its cost equation.</w:t>
      </w:r>
    </w:p>
    <w:p w14:paraId="49EB2D17" w14:textId="77777777" w:rsidR="00196639" w:rsidRDefault="00000000">
      <w:pPr>
        <w:pStyle w:val="BodyText"/>
      </w:pPr>
      <w:r>
        <w:rPr>
          <w:b/>
          <w:bCs/>
        </w:rPr>
        <w:t>MMS is the cheapest intervention here, and the switch itself is nearly free.</w:t>
      </w:r>
      <w:r>
        <w:t xml:space="preserve"> At about half a US cent more per tablet, the commodity cost of moving from iron-folic acid to MMS is close to trivial. The cost sits in the system change — antenatal contact, counselling and supply chain — not in the tablet.</w:t>
      </w:r>
    </w:p>
    <w:p w14:paraId="5E2DB5C1" w14:textId="77777777" w:rsidR="00196639" w:rsidRDefault="00000000">
      <w:pPr>
        <w:pStyle w:val="BodyText"/>
      </w:pPr>
      <w:r>
        <w:rPr>
          <w:b/>
          <w:bCs/>
        </w:rPr>
        <w:t>But the MMS figures are modelled</w:t>
      </w:r>
      <w:r>
        <w:t>, and assume high coverage, full adherence and no waste. Real-world cost per DALY will be higher. The direction is robust; the precise number is not.</w:t>
      </w:r>
    </w:p>
    <w:p w14:paraId="1AA28442" w14:textId="77777777" w:rsidR="00196639" w:rsidRDefault="00000000">
      <w:pPr>
        <w:pStyle w:val="BodyText"/>
      </w:pPr>
      <w:r>
        <w:rPr>
          <w:b/>
          <w:bCs/>
        </w:rPr>
        <w:t>Decentralisation is not automatically cheaper.</w:t>
      </w:r>
      <w:r>
        <w:t xml:space="preserve"> In one randomised comparison in Pakistan, community health worker delivery cost slightly less per child </w:t>
      </w:r>
      <w:r>
        <w:rPr>
          <w:i/>
          <w:iCs/>
        </w:rPr>
        <w:t>treated</w:t>
      </w:r>
      <w:r>
        <w:t xml:space="preserve"> ($291 vs $301) but more per child </w:t>
      </w:r>
      <w:r>
        <w:rPr>
          <w:i/>
          <w:iCs/>
        </w:rPr>
        <w:t>recovered</w:t>
      </w:r>
      <w:r>
        <w:t xml:space="preserve"> ($382 vs $363), because recovery was lower. Reach and efficiency are not the same thing.</w:t>
      </w:r>
    </w:p>
    <w:p w14:paraId="67B894F7" w14:textId="77777777" w:rsidR="00196639" w:rsidRDefault="00FF2E54">
      <w:r>
        <w:rPr>
          <w:noProof/>
        </w:rPr>
      </w:r>
      <w:r>
        <w:pict w14:anchorId="420933EE">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37C264" w14:textId="77777777" w:rsidR="00196639" w:rsidRDefault="00000000">
      <w:pPr>
        <w:pStyle w:val="Heading1"/>
      </w:pPr>
      <w:bookmarkStart w:id="8" w:name="X6eaee9f483146c81ace2149b21513b1657e2467"/>
      <w:bookmarkEnd w:id="7"/>
      <w:r>
        <w:lastRenderedPageBreak/>
        <w:t>4. Where these interventions have the most to work with</w:t>
      </w:r>
    </w:p>
    <w:p w14:paraId="09293712" w14:textId="77777777" w:rsidR="00196639" w:rsidRDefault="00000000">
      <w:pPr>
        <w:pStyle w:val="FirstParagraph"/>
      </w:pPr>
      <w:r>
        <w:t>Targeting differs by intervention, because each acts on a different condition.</w:t>
      </w:r>
    </w:p>
    <w:tbl>
      <w:tblPr>
        <w:tblStyle w:val="Table0"/>
        <w:tblW w:w="5000" w:type="pct"/>
        <w:tblInd w:w="100" w:type="dxa"/>
        <w:tblLayout w:type="fixed"/>
        <w:tblLook w:val="0020" w:firstRow="1" w:lastRow="0" w:firstColumn="0" w:lastColumn="0" w:noHBand="0" w:noVBand="0"/>
      </w:tblPr>
      <w:tblGrid>
        <w:gridCol w:w="4780"/>
        <w:gridCol w:w="4780"/>
      </w:tblGrid>
      <w:tr w:rsidR="00196639" w14:paraId="11317084"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325E9F" w14:textId="77777777" w:rsidR="00196639" w:rsidRDefault="00000000">
            <w:pPr>
              <w:pStyle w:val="Compact"/>
            </w:pPr>
            <w:r>
              <w:t>Intervention</w:t>
            </w:r>
          </w:p>
        </w:tc>
        <w:tc>
          <w:tcPr>
            <w:tcW w:w="3960" w:type="dxa"/>
          </w:tcPr>
          <w:p w14:paraId="6064AC43" w14:textId="77777777" w:rsidR="00196639" w:rsidRDefault="00000000">
            <w:pPr>
              <w:pStyle w:val="Compact"/>
            </w:pPr>
            <w:r>
              <w:t>What determines where it works best</w:t>
            </w:r>
          </w:p>
        </w:tc>
      </w:tr>
      <w:tr w:rsidR="00196639" w14:paraId="7C2E58B3" w14:textId="77777777">
        <w:tc>
          <w:tcPr>
            <w:tcW w:w="3960" w:type="dxa"/>
          </w:tcPr>
          <w:p w14:paraId="30B63A31" w14:textId="77777777" w:rsidR="00196639" w:rsidRDefault="00000000">
            <w:pPr>
              <w:pStyle w:val="Compact"/>
            </w:pPr>
            <w:r>
              <w:rPr>
                <w:b/>
                <w:bCs/>
              </w:rPr>
              <w:t>CMAM</w:t>
            </w:r>
          </w:p>
        </w:tc>
        <w:tc>
          <w:tcPr>
            <w:tcW w:w="3960" w:type="dxa"/>
          </w:tcPr>
          <w:p w14:paraId="59E33328" w14:textId="77777777" w:rsidR="00196639" w:rsidRDefault="00000000">
            <w:pPr>
              <w:pStyle w:val="Compact"/>
            </w:pPr>
            <w:r>
              <w:t>Wasting and severe wasting prevalence — the benefit per child is fixed, so what varies is case-finding efficiency</w:t>
            </w:r>
          </w:p>
        </w:tc>
      </w:tr>
      <w:tr w:rsidR="00196639" w14:paraId="675F4E47" w14:textId="77777777">
        <w:tc>
          <w:tcPr>
            <w:tcW w:w="3960" w:type="dxa"/>
          </w:tcPr>
          <w:p w14:paraId="190DBCB2" w14:textId="77777777" w:rsidR="00196639" w:rsidRDefault="00000000">
            <w:pPr>
              <w:pStyle w:val="Compact"/>
            </w:pPr>
            <w:r>
              <w:rPr>
                <w:b/>
                <w:bCs/>
              </w:rPr>
              <w:t>MMS</w:t>
            </w:r>
          </w:p>
        </w:tc>
        <w:tc>
          <w:tcPr>
            <w:tcW w:w="3960" w:type="dxa"/>
          </w:tcPr>
          <w:p w14:paraId="3F0CC145" w14:textId="77777777" w:rsidR="00196639" w:rsidRDefault="00000000">
            <w:pPr>
              <w:pStyle w:val="Compact"/>
            </w:pPr>
            <w:r>
              <w:t xml:space="preserve">Low birthweight prevalence </w:t>
            </w:r>
            <w:r>
              <w:rPr>
                <w:b/>
                <w:bCs/>
              </w:rPr>
              <w:t>and</w:t>
            </w:r>
            <w:r>
              <w:t xml:space="preserve"> maternal anaemia — absolute benefit scales with baseline low birthweight, and relative benefit is larger in anaemic and underweight women</w:t>
            </w:r>
          </w:p>
        </w:tc>
      </w:tr>
      <w:tr w:rsidR="00196639" w14:paraId="769C9224" w14:textId="77777777">
        <w:tc>
          <w:tcPr>
            <w:tcW w:w="3960" w:type="dxa"/>
          </w:tcPr>
          <w:p w14:paraId="4E4AEE4E" w14:textId="77777777" w:rsidR="00196639" w:rsidRDefault="00000000">
            <w:pPr>
              <w:pStyle w:val="Compact"/>
            </w:pPr>
            <w:r>
              <w:rPr>
                <w:b/>
                <w:bCs/>
              </w:rPr>
              <w:t>Facility newborn package</w:t>
            </w:r>
          </w:p>
        </w:tc>
        <w:tc>
          <w:tcPr>
            <w:tcW w:w="3960" w:type="dxa"/>
          </w:tcPr>
          <w:p w14:paraId="2BA5117C" w14:textId="77777777" w:rsidR="00196639" w:rsidRDefault="00000000">
            <w:pPr>
              <w:pStyle w:val="Compact"/>
            </w:pPr>
            <w:r>
              <w:t xml:space="preserve">Low birthweight prevalence </w:t>
            </w:r>
            <w:r>
              <w:rPr>
                <w:b/>
                <w:bCs/>
              </w:rPr>
              <w:t>×</w:t>
            </w:r>
            <w:r>
              <w:t xml:space="preserve"> facility delivery coverage</w:t>
            </w:r>
          </w:p>
        </w:tc>
      </w:tr>
    </w:tbl>
    <w:p w14:paraId="6F9F75F2" w14:textId="77777777" w:rsidR="00196639" w:rsidRDefault="00000000">
      <w:pPr>
        <w:pStyle w:val="Heading2"/>
      </w:pPr>
      <w:bookmarkStart w:id="9" w:name="Xb3bf550c97bd57969b9724ec980742e0786eb9f"/>
      <w:r>
        <w:t>4.1 Low birthweight is concentrated in South Asia</w:t>
      </w:r>
    </w:p>
    <w:p w14:paraId="537CC351" w14:textId="77777777" w:rsidR="00196639" w:rsidRDefault="00000000">
      <w:pPr>
        <w:pStyle w:val="FirstParagraph"/>
      </w:pPr>
      <w:r>
        <w:t>UNICEF-WHO Global Low Birthweight Estimates, 2020:</w:t>
      </w:r>
    </w:p>
    <w:tbl>
      <w:tblPr>
        <w:tblStyle w:val="Table0"/>
        <w:tblW w:w="0" w:type="auto"/>
        <w:tblInd w:w="100" w:type="dxa"/>
        <w:tblLook w:val="0020" w:firstRow="1" w:lastRow="0" w:firstColumn="0" w:lastColumn="0" w:noHBand="0" w:noVBand="0"/>
      </w:tblPr>
      <w:tblGrid>
        <w:gridCol w:w="2791"/>
        <w:gridCol w:w="1274"/>
      </w:tblGrid>
      <w:tr w:rsidR="00196639" w14:paraId="70756A35"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0" w:type="auto"/>
          </w:tcPr>
          <w:p w14:paraId="745DE4BF" w14:textId="77777777" w:rsidR="00196639" w:rsidRDefault="00000000">
            <w:pPr>
              <w:pStyle w:val="Compact"/>
            </w:pPr>
            <w:r>
              <w:t>Region</w:t>
            </w:r>
          </w:p>
        </w:tc>
        <w:tc>
          <w:tcPr>
            <w:tcW w:w="0" w:type="auto"/>
          </w:tcPr>
          <w:p w14:paraId="511D69EC" w14:textId="77777777" w:rsidR="00196639" w:rsidRDefault="00000000">
            <w:pPr>
              <w:pStyle w:val="Compact"/>
            </w:pPr>
            <w:r>
              <w:t>Prevalence</w:t>
            </w:r>
          </w:p>
        </w:tc>
      </w:tr>
      <w:tr w:rsidR="00196639" w14:paraId="4234E760" w14:textId="77777777">
        <w:tc>
          <w:tcPr>
            <w:tcW w:w="0" w:type="auto"/>
          </w:tcPr>
          <w:p w14:paraId="63786D89" w14:textId="77777777" w:rsidR="00196639" w:rsidRDefault="00000000">
            <w:pPr>
              <w:pStyle w:val="Compact"/>
            </w:pPr>
            <w:r>
              <w:rPr>
                <w:b/>
                <w:bCs/>
              </w:rPr>
              <w:t>South Asia</w:t>
            </w:r>
          </w:p>
        </w:tc>
        <w:tc>
          <w:tcPr>
            <w:tcW w:w="0" w:type="auto"/>
          </w:tcPr>
          <w:p w14:paraId="1E0F0B65" w14:textId="77777777" w:rsidR="00196639" w:rsidRDefault="00000000">
            <w:pPr>
              <w:pStyle w:val="Compact"/>
            </w:pPr>
            <w:r>
              <w:rPr>
                <w:b/>
                <w:bCs/>
              </w:rPr>
              <w:t>24.8%</w:t>
            </w:r>
          </w:p>
        </w:tc>
      </w:tr>
      <w:tr w:rsidR="00196639" w14:paraId="3FA01EB7" w14:textId="77777777">
        <w:tc>
          <w:tcPr>
            <w:tcW w:w="0" w:type="auto"/>
          </w:tcPr>
          <w:p w14:paraId="029D24DF" w14:textId="77777777" w:rsidR="00196639" w:rsidRDefault="00000000">
            <w:pPr>
              <w:pStyle w:val="Compact"/>
            </w:pPr>
            <w:r>
              <w:t>Least Developed Countries</w:t>
            </w:r>
          </w:p>
        </w:tc>
        <w:tc>
          <w:tcPr>
            <w:tcW w:w="0" w:type="auto"/>
          </w:tcPr>
          <w:p w14:paraId="619C2E11" w14:textId="77777777" w:rsidR="00196639" w:rsidRDefault="00000000">
            <w:pPr>
              <w:pStyle w:val="Compact"/>
            </w:pPr>
            <w:r>
              <w:t>15.4%</w:t>
            </w:r>
          </w:p>
        </w:tc>
      </w:tr>
      <w:tr w:rsidR="00196639" w14:paraId="26A92B6A" w14:textId="77777777">
        <w:tc>
          <w:tcPr>
            <w:tcW w:w="0" w:type="auto"/>
          </w:tcPr>
          <w:p w14:paraId="7CC72978" w14:textId="77777777" w:rsidR="00196639" w:rsidRDefault="00000000">
            <w:pPr>
              <w:pStyle w:val="Compact"/>
            </w:pPr>
            <w:r>
              <w:t>Horn of Africa (IGAD)</w:t>
            </w:r>
          </w:p>
        </w:tc>
        <w:tc>
          <w:tcPr>
            <w:tcW w:w="0" w:type="auto"/>
          </w:tcPr>
          <w:p w14:paraId="7F8EDC5F" w14:textId="77777777" w:rsidR="00196639" w:rsidRDefault="00000000">
            <w:pPr>
              <w:pStyle w:val="Compact"/>
            </w:pPr>
            <w:r>
              <w:t>14.6%</w:t>
            </w:r>
          </w:p>
        </w:tc>
      </w:tr>
      <w:tr w:rsidR="00196639" w14:paraId="4720B05D" w14:textId="77777777">
        <w:tc>
          <w:tcPr>
            <w:tcW w:w="0" w:type="auto"/>
          </w:tcPr>
          <w:p w14:paraId="42F34192" w14:textId="77777777" w:rsidR="00196639" w:rsidRDefault="00000000">
            <w:pPr>
              <w:pStyle w:val="Compact"/>
            </w:pPr>
            <w:r>
              <w:t>Eastern and Southern Africa</w:t>
            </w:r>
          </w:p>
        </w:tc>
        <w:tc>
          <w:tcPr>
            <w:tcW w:w="0" w:type="auto"/>
          </w:tcPr>
          <w:p w14:paraId="0927637F" w14:textId="77777777" w:rsidR="00196639" w:rsidRDefault="00000000">
            <w:pPr>
              <w:pStyle w:val="Compact"/>
            </w:pPr>
            <w:r>
              <w:t>14.4%</w:t>
            </w:r>
          </w:p>
        </w:tc>
      </w:tr>
      <w:tr w:rsidR="00196639" w14:paraId="75D0FA95" w14:textId="77777777">
        <w:tc>
          <w:tcPr>
            <w:tcW w:w="0" w:type="auto"/>
          </w:tcPr>
          <w:p w14:paraId="4C1AC696" w14:textId="77777777" w:rsidR="00196639" w:rsidRDefault="00000000">
            <w:pPr>
              <w:pStyle w:val="Compact"/>
            </w:pPr>
            <w:r>
              <w:t>Western Africa</w:t>
            </w:r>
          </w:p>
        </w:tc>
        <w:tc>
          <w:tcPr>
            <w:tcW w:w="0" w:type="auto"/>
          </w:tcPr>
          <w:p w14:paraId="3A414A6D" w14:textId="77777777" w:rsidR="00196639" w:rsidRDefault="00000000">
            <w:pPr>
              <w:pStyle w:val="Compact"/>
            </w:pPr>
            <w:r>
              <w:t>14.3%</w:t>
            </w:r>
          </w:p>
        </w:tc>
      </w:tr>
      <w:tr w:rsidR="00196639" w14:paraId="2A4964E4" w14:textId="77777777">
        <w:tc>
          <w:tcPr>
            <w:tcW w:w="0" w:type="auto"/>
          </w:tcPr>
          <w:p w14:paraId="6D2A0ECD" w14:textId="77777777" w:rsidR="00196639" w:rsidRDefault="00000000">
            <w:pPr>
              <w:pStyle w:val="Compact"/>
            </w:pPr>
            <w:r>
              <w:t>Sub-Saharan Africa</w:t>
            </w:r>
          </w:p>
        </w:tc>
        <w:tc>
          <w:tcPr>
            <w:tcW w:w="0" w:type="auto"/>
          </w:tcPr>
          <w:p w14:paraId="0186C53D" w14:textId="77777777" w:rsidR="00196639" w:rsidRDefault="00000000">
            <w:pPr>
              <w:pStyle w:val="Compact"/>
            </w:pPr>
            <w:r>
              <w:t>13.9%</w:t>
            </w:r>
          </w:p>
        </w:tc>
      </w:tr>
      <w:tr w:rsidR="00196639" w14:paraId="428630D5" w14:textId="77777777">
        <w:tc>
          <w:tcPr>
            <w:tcW w:w="0" w:type="auto"/>
          </w:tcPr>
          <w:p w14:paraId="5CB04D5A" w14:textId="77777777" w:rsidR="00196639" w:rsidRDefault="00000000">
            <w:pPr>
              <w:pStyle w:val="Compact"/>
            </w:pPr>
            <w:r>
              <w:t>Sahel</w:t>
            </w:r>
          </w:p>
        </w:tc>
        <w:tc>
          <w:tcPr>
            <w:tcW w:w="0" w:type="auto"/>
          </w:tcPr>
          <w:p w14:paraId="729468D2" w14:textId="77777777" w:rsidR="00196639" w:rsidRDefault="00000000">
            <w:pPr>
              <w:pStyle w:val="Compact"/>
            </w:pPr>
            <w:r>
              <w:t>13.8%</w:t>
            </w:r>
          </w:p>
        </w:tc>
      </w:tr>
      <w:tr w:rsidR="00196639" w14:paraId="63BB73AE" w14:textId="77777777">
        <w:tc>
          <w:tcPr>
            <w:tcW w:w="0" w:type="auto"/>
          </w:tcPr>
          <w:p w14:paraId="310C2E7A" w14:textId="77777777" w:rsidR="00196639" w:rsidRDefault="00000000">
            <w:pPr>
              <w:pStyle w:val="Compact"/>
            </w:pPr>
            <w:r>
              <w:t>Middle East and North Africa</w:t>
            </w:r>
          </w:p>
        </w:tc>
        <w:tc>
          <w:tcPr>
            <w:tcW w:w="0" w:type="auto"/>
          </w:tcPr>
          <w:p w14:paraId="3B5FC2A8" w14:textId="77777777" w:rsidR="00196639" w:rsidRDefault="00000000">
            <w:pPr>
              <w:pStyle w:val="Compact"/>
            </w:pPr>
            <w:r>
              <w:t>12.9%</w:t>
            </w:r>
          </w:p>
        </w:tc>
      </w:tr>
      <w:tr w:rsidR="00196639" w14:paraId="2CDAD445" w14:textId="77777777">
        <w:tc>
          <w:tcPr>
            <w:tcW w:w="0" w:type="auto"/>
          </w:tcPr>
          <w:p w14:paraId="2951D372" w14:textId="77777777" w:rsidR="00196639" w:rsidRDefault="00000000">
            <w:pPr>
              <w:pStyle w:val="Compact"/>
            </w:pPr>
            <w:r>
              <w:t>East Asia and Pacific</w:t>
            </w:r>
          </w:p>
        </w:tc>
        <w:tc>
          <w:tcPr>
            <w:tcW w:w="0" w:type="auto"/>
          </w:tcPr>
          <w:p w14:paraId="43299235" w14:textId="77777777" w:rsidR="00196639" w:rsidRDefault="00000000">
            <w:pPr>
              <w:pStyle w:val="Compact"/>
            </w:pPr>
            <w:r>
              <w:t>8.5%</w:t>
            </w:r>
          </w:p>
        </w:tc>
      </w:tr>
    </w:tbl>
    <w:p w14:paraId="620E2CD0" w14:textId="77777777" w:rsidR="00196639" w:rsidRDefault="00000000">
      <w:pPr>
        <w:pStyle w:val="BodyText"/>
      </w:pPr>
      <w:r>
        <w:t>This holds country by country: India 27.4%, Bangladesh 23.0%, Nepal 19.7% — all above the sub-Saharan African regional figure, including Nepal, whose wasting burden is unremarkable.</w:t>
      </w:r>
    </w:p>
    <w:p w14:paraId="54DA07EB" w14:textId="77777777" w:rsidR="00196639" w:rsidRDefault="00000000">
      <w:pPr>
        <w:pStyle w:val="BodyText"/>
      </w:pPr>
      <w:r>
        <w:rPr>
          <w:b/>
          <w:bCs/>
        </w:rPr>
        <w:t>For the two interventions that act on low birthweight — MMS and the facility newborn package — South Asia is the highest-yield region.</w:t>
      </w:r>
      <w:r>
        <w:t xml:space="preserve"> MMS is the clearest match in this review: it is the only intervention where the absolute benefit (baseline low birthweight) and the relative benefit (larger in anaemic and undernourished women) point to the same geography, on the cheapest intervention of the three.</w:t>
      </w:r>
    </w:p>
    <w:p w14:paraId="4B6EB2D7" w14:textId="77777777" w:rsidR="00196639" w:rsidRDefault="00000000">
      <w:pPr>
        <w:pStyle w:val="Heading2"/>
      </w:pPr>
      <w:bookmarkStart w:id="10" w:name="X4c2dfee5d24066f432e7a0f0288ca737edfcd36"/>
      <w:bookmarkEnd w:id="9"/>
      <w:r>
        <w:lastRenderedPageBreak/>
        <w:t>4.2 Wasting concentrates in two very different places</w:t>
      </w:r>
    </w:p>
    <w:p w14:paraId="70CFAE3B" w14:textId="77777777" w:rsidR="00196639" w:rsidRDefault="00000000">
      <w:pPr>
        <w:pStyle w:val="FirstParagraph"/>
      </w:pPr>
      <w:r>
        <w:t>National survey estimates, WHO Global Health Observatory (survey year in brackets):</w:t>
      </w:r>
    </w:p>
    <w:tbl>
      <w:tblPr>
        <w:tblStyle w:val="Table0"/>
        <w:tblW w:w="0" w:type="auto"/>
        <w:tblInd w:w="100" w:type="dxa"/>
        <w:tblLook w:val="0020" w:firstRow="1" w:lastRow="0" w:firstColumn="0" w:lastColumn="0" w:noHBand="0" w:noVBand="0"/>
      </w:tblPr>
      <w:tblGrid>
        <w:gridCol w:w="1383"/>
        <w:gridCol w:w="2912"/>
      </w:tblGrid>
      <w:tr w:rsidR="00196639" w14:paraId="39FC8218"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0" w:type="auto"/>
          </w:tcPr>
          <w:p w14:paraId="6A5BFC40" w14:textId="77777777" w:rsidR="00196639" w:rsidRDefault="00000000">
            <w:pPr>
              <w:pStyle w:val="Compact"/>
            </w:pPr>
            <w:r>
              <w:t>Country</w:t>
            </w:r>
          </w:p>
        </w:tc>
        <w:tc>
          <w:tcPr>
            <w:tcW w:w="0" w:type="auto"/>
          </w:tcPr>
          <w:p w14:paraId="65E915F7" w14:textId="77777777" w:rsidR="00196639" w:rsidRDefault="00000000">
            <w:pPr>
              <w:pStyle w:val="Compact"/>
            </w:pPr>
            <w:r>
              <w:t>Wasting</w:t>
            </w:r>
          </w:p>
        </w:tc>
      </w:tr>
      <w:tr w:rsidR="00196639" w14:paraId="00567DFC" w14:textId="77777777">
        <w:tc>
          <w:tcPr>
            <w:tcW w:w="0" w:type="auto"/>
          </w:tcPr>
          <w:p w14:paraId="271792A2" w14:textId="77777777" w:rsidR="00196639" w:rsidRDefault="00000000">
            <w:pPr>
              <w:pStyle w:val="Compact"/>
            </w:pPr>
            <w:r>
              <w:rPr>
                <w:b/>
                <w:bCs/>
              </w:rPr>
              <w:t>India</w:t>
            </w:r>
          </w:p>
        </w:tc>
        <w:tc>
          <w:tcPr>
            <w:tcW w:w="0" w:type="auto"/>
          </w:tcPr>
          <w:p w14:paraId="4E61285E" w14:textId="77777777" w:rsidR="00196639" w:rsidRDefault="00000000">
            <w:pPr>
              <w:pStyle w:val="Compact"/>
            </w:pPr>
            <w:r>
              <w:rPr>
                <w:b/>
                <w:bCs/>
              </w:rPr>
              <w:t>18.7%</w:t>
            </w:r>
            <w:r>
              <w:t xml:space="preserve"> (2020)</w:t>
            </w:r>
          </w:p>
        </w:tc>
      </w:tr>
      <w:tr w:rsidR="00196639" w14:paraId="2EFB5A22" w14:textId="77777777">
        <w:tc>
          <w:tcPr>
            <w:tcW w:w="0" w:type="auto"/>
          </w:tcPr>
          <w:p w14:paraId="112BEC3D" w14:textId="77777777" w:rsidR="00196639" w:rsidRDefault="00000000">
            <w:pPr>
              <w:pStyle w:val="Compact"/>
            </w:pPr>
            <w:r>
              <w:rPr>
                <w:b/>
                <w:bCs/>
              </w:rPr>
              <w:t>Yemen</w:t>
            </w:r>
          </w:p>
        </w:tc>
        <w:tc>
          <w:tcPr>
            <w:tcW w:w="0" w:type="auto"/>
          </w:tcPr>
          <w:p w14:paraId="5D12A2C5" w14:textId="77777777" w:rsidR="00196639" w:rsidRDefault="00000000">
            <w:pPr>
              <w:pStyle w:val="Compact"/>
            </w:pPr>
            <w:r>
              <w:rPr>
                <w:b/>
                <w:bCs/>
              </w:rPr>
              <w:t>16.8%</w:t>
            </w:r>
            <w:r>
              <w:t xml:space="preserve"> (2022)</w:t>
            </w:r>
          </w:p>
        </w:tc>
      </w:tr>
      <w:tr w:rsidR="00196639" w14:paraId="52AA09BD" w14:textId="77777777">
        <w:tc>
          <w:tcPr>
            <w:tcW w:w="0" w:type="auto"/>
          </w:tcPr>
          <w:p w14:paraId="7BBD8BFC" w14:textId="77777777" w:rsidR="00196639" w:rsidRDefault="00000000">
            <w:pPr>
              <w:pStyle w:val="Compact"/>
            </w:pPr>
            <w:r>
              <w:rPr>
                <w:b/>
                <w:bCs/>
              </w:rPr>
              <w:t>Sudan</w:t>
            </w:r>
          </w:p>
        </w:tc>
        <w:tc>
          <w:tcPr>
            <w:tcW w:w="0" w:type="auto"/>
          </w:tcPr>
          <w:p w14:paraId="31B0473F" w14:textId="77777777" w:rsidR="00196639" w:rsidRDefault="00000000">
            <w:pPr>
              <w:pStyle w:val="Compact"/>
            </w:pPr>
            <w:r>
              <w:rPr>
                <w:b/>
                <w:bCs/>
              </w:rPr>
              <w:t>16.3%</w:t>
            </w:r>
            <w:r>
              <w:t xml:space="preserve"> (2014)</w:t>
            </w:r>
          </w:p>
        </w:tc>
      </w:tr>
      <w:tr w:rsidR="00196639" w14:paraId="6514D7CA" w14:textId="77777777">
        <w:tc>
          <w:tcPr>
            <w:tcW w:w="0" w:type="auto"/>
          </w:tcPr>
          <w:p w14:paraId="604466EF" w14:textId="77777777" w:rsidR="00196639" w:rsidRDefault="00000000">
            <w:pPr>
              <w:pStyle w:val="Compact"/>
            </w:pPr>
            <w:r>
              <w:rPr>
                <w:b/>
                <w:bCs/>
              </w:rPr>
              <w:t>Niger</w:t>
            </w:r>
          </w:p>
        </w:tc>
        <w:tc>
          <w:tcPr>
            <w:tcW w:w="0" w:type="auto"/>
          </w:tcPr>
          <w:p w14:paraId="3B2DBF68" w14:textId="77777777" w:rsidR="00196639" w:rsidRDefault="00000000">
            <w:pPr>
              <w:pStyle w:val="Compact"/>
            </w:pPr>
            <w:r>
              <w:rPr>
                <w:b/>
                <w:bCs/>
              </w:rPr>
              <w:t>10.9%</w:t>
            </w:r>
            <w:r>
              <w:t xml:space="preserve"> (2022; 14.1% in 2018)</w:t>
            </w:r>
          </w:p>
        </w:tc>
      </w:tr>
      <w:tr w:rsidR="00196639" w14:paraId="04C02EB3" w14:textId="77777777">
        <w:tc>
          <w:tcPr>
            <w:tcW w:w="0" w:type="auto"/>
          </w:tcPr>
          <w:p w14:paraId="6BA74682" w14:textId="77777777" w:rsidR="00196639" w:rsidRDefault="00000000">
            <w:pPr>
              <w:pStyle w:val="Compact"/>
            </w:pPr>
            <w:r>
              <w:t>Bangladesh</w:t>
            </w:r>
          </w:p>
        </w:tc>
        <w:tc>
          <w:tcPr>
            <w:tcW w:w="0" w:type="auto"/>
          </w:tcPr>
          <w:p w14:paraId="0B48D92C" w14:textId="77777777" w:rsidR="00196639" w:rsidRDefault="00000000">
            <w:pPr>
              <w:pStyle w:val="Compact"/>
            </w:pPr>
            <w:r>
              <w:t>9.8% (2022)</w:t>
            </w:r>
          </w:p>
        </w:tc>
      </w:tr>
      <w:tr w:rsidR="00196639" w14:paraId="432F946E" w14:textId="77777777">
        <w:tc>
          <w:tcPr>
            <w:tcW w:w="0" w:type="auto"/>
          </w:tcPr>
          <w:p w14:paraId="5BCC47F7" w14:textId="77777777" w:rsidR="00196639" w:rsidRDefault="00000000">
            <w:pPr>
              <w:pStyle w:val="Compact"/>
            </w:pPr>
            <w:r>
              <w:t>Burkina Faso</w:t>
            </w:r>
          </w:p>
        </w:tc>
        <w:tc>
          <w:tcPr>
            <w:tcW w:w="0" w:type="auto"/>
          </w:tcPr>
          <w:p w14:paraId="46F1BEC0" w14:textId="77777777" w:rsidR="00196639" w:rsidRDefault="00000000">
            <w:pPr>
              <w:pStyle w:val="Compact"/>
            </w:pPr>
            <w:r>
              <w:t>9.3% (2021)</w:t>
            </w:r>
          </w:p>
        </w:tc>
      </w:tr>
      <w:tr w:rsidR="00196639" w14:paraId="7BAAB11D" w14:textId="77777777">
        <w:tc>
          <w:tcPr>
            <w:tcW w:w="0" w:type="auto"/>
          </w:tcPr>
          <w:p w14:paraId="135E2125" w14:textId="77777777" w:rsidR="00196639" w:rsidRDefault="00000000">
            <w:pPr>
              <w:pStyle w:val="Compact"/>
            </w:pPr>
            <w:r>
              <w:t>Chad</w:t>
            </w:r>
          </w:p>
        </w:tc>
        <w:tc>
          <w:tcPr>
            <w:tcW w:w="0" w:type="auto"/>
          </w:tcPr>
          <w:p w14:paraId="1D2A5279" w14:textId="77777777" w:rsidR="00196639" w:rsidRDefault="00000000">
            <w:pPr>
              <w:pStyle w:val="Compact"/>
            </w:pPr>
            <w:r>
              <w:t>9.0% (2022)</w:t>
            </w:r>
          </w:p>
        </w:tc>
      </w:tr>
      <w:tr w:rsidR="00196639" w14:paraId="33E8009F" w14:textId="77777777">
        <w:tc>
          <w:tcPr>
            <w:tcW w:w="0" w:type="auto"/>
          </w:tcPr>
          <w:p w14:paraId="5E599879" w14:textId="77777777" w:rsidR="00196639" w:rsidRDefault="00000000">
            <w:pPr>
              <w:pStyle w:val="Compact"/>
            </w:pPr>
            <w:r>
              <w:t>Nepal</w:t>
            </w:r>
          </w:p>
        </w:tc>
        <w:tc>
          <w:tcPr>
            <w:tcW w:w="0" w:type="auto"/>
          </w:tcPr>
          <w:p w14:paraId="2E3B4C39" w14:textId="77777777" w:rsidR="00196639" w:rsidRDefault="00000000">
            <w:pPr>
              <w:pStyle w:val="Compact"/>
            </w:pPr>
            <w:r>
              <w:t>6.9% (2022)</w:t>
            </w:r>
          </w:p>
        </w:tc>
      </w:tr>
      <w:tr w:rsidR="00196639" w14:paraId="20D2EE8A" w14:textId="77777777">
        <w:tc>
          <w:tcPr>
            <w:tcW w:w="0" w:type="auto"/>
          </w:tcPr>
          <w:p w14:paraId="666CAC66" w14:textId="77777777" w:rsidR="00196639" w:rsidRDefault="00000000">
            <w:pPr>
              <w:pStyle w:val="Compact"/>
            </w:pPr>
            <w:r>
              <w:t>Ethiopia</w:t>
            </w:r>
          </w:p>
        </w:tc>
        <w:tc>
          <w:tcPr>
            <w:tcW w:w="0" w:type="auto"/>
          </w:tcPr>
          <w:p w14:paraId="721EC0AF" w14:textId="77777777" w:rsidR="00196639" w:rsidRDefault="00000000">
            <w:pPr>
              <w:pStyle w:val="Compact"/>
            </w:pPr>
            <w:r>
              <w:t>6.8% (2019)</w:t>
            </w:r>
          </w:p>
        </w:tc>
      </w:tr>
      <w:tr w:rsidR="00196639" w14:paraId="0003FFF7" w14:textId="77777777">
        <w:tc>
          <w:tcPr>
            <w:tcW w:w="0" w:type="auto"/>
          </w:tcPr>
          <w:p w14:paraId="5715EC70" w14:textId="77777777" w:rsidR="00196639" w:rsidRDefault="00000000">
            <w:pPr>
              <w:pStyle w:val="Compact"/>
            </w:pPr>
            <w:r>
              <w:t>Nigeria</w:t>
            </w:r>
          </w:p>
        </w:tc>
        <w:tc>
          <w:tcPr>
            <w:tcW w:w="0" w:type="auto"/>
          </w:tcPr>
          <w:p w14:paraId="7F1C6963" w14:textId="77777777" w:rsidR="00196639" w:rsidRDefault="00000000">
            <w:pPr>
              <w:pStyle w:val="Compact"/>
            </w:pPr>
            <w:r>
              <w:t>6.5% (2020)</w:t>
            </w:r>
          </w:p>
        </w:tc>
      </w:tr>
      <w:tr w:rsidR="00196639" w14:paraId="3C464022" w14:textId="77777777">
        <w:tc>
          <w:tcPr>
            <w:tcW w:w="0" w:type="auto"/>
          </w:tcPr>
          <w:p w14:paraId="347F6A18" w14:textId="77777777" w:rsidR="00196639" w:rsidRDefault="00000000">
            <w:pPr>
              <w:pStyle w:val="Compact"/>
            </w:pPr>
            <w:r>
              <w:t>Pakistan</w:t>
            </w:r>
          </w:p>
        </w:tc>
        <w:tc>
          <w:tcPr>
            <w:tcW w:w="0" w:type="auto"/>
          </w:tcPr>
          <w:p w14:paraId="1715D983" w14:textId="77777777" w:rsidR="00196639" w:rsidRDefault="00000000">
            <w:pPr>
              <w:pStyle w:val="Compact"/>
            </w:pPr>
            <w:r>
              <w:t>6.1% (2018)</w:t>
            </w:r>
          </w:p>
        </w:tc>
      </w:tr>
      <w:tr w:rsidR="00196639" w14:paraId="57B80995" w14:textId="77777777">
        <w:tc>
          <w:tcPr>
            <w:tcW w:w="0" w:type="auto"/>
          </w:tcPr>
          <w:p w14:paraId="6E1729C2" w14:textId="77777777" w:rsidR="00196639" w:rsidRDefault="00000000">
            <w:pPr>
              <w:pStyle w:val="Compact"/>
            </w:pPr>
            <w:r>
              <w:t>Mali</w:t>
            </w:r>
          </w:p>
        </w:tc>
        <w:tc>
          <w:tcPr>
            <w:tcW w:w="0" w:type="auto"/>
          </w:tcPr>
          <w:p w14:paraId="09A9F210" w14:textId="77777777" w:rsidR="00196639" w:rsidRDefault="00000000">
            <w:pPr>
              <w:pStyle w:val="Compact"/>
            </w:pPr>
            <w:r>
              <w:t>5.4% (2024)</w:t>
            </w:r>
          </w:p>
        </w:tc>
      </w:tr>
      <w:tr w:rsidR="00196639" w14:paraId="125F6D15" w14:textId="77777777">
        <w:tc>
          <w:tcPr>
            <w:tcW w:w="0" w:type="auto"/>
          </w:tcPr>
          <w:p w14:paraId="4A5474B1" w14:textId="77777777" w:rsidR="00196639" w:rsidRDefault="00000000">
            <w:pPr>
              <w:pStyle w:val="Compact"/>
            </w:pPr>
            <w:r>
              <w:t>Kenya</w:t>
            </w:r>
          </w:p>
        </w:tc>
        <w:tc>
          <w:tcPr>
            <w:tcW w:w="0" w:type="auto"/>
          </w:tcPr>
          <w:p w14:paraId="250D82CB" w14:textId="77777777" w:rsidR="00196639" w:rsidRDefault="00000000">
            <w:pPr>
              <w:pStyle w:val="Compact"/>
            </w:pPr>
            <w:r>
              <w:t>4.5% (2022)</w:t>
            </w:r>
          </w:p>
        </w:tc>
      </w:tr>
    </w:tbl>
    <w:p w14:paraId="71E86F1B" w14:textId="77777777" w:rsidR="00196639" w:rsidRDefault="00000000">
      <w:pPr>
        <w:pStyle w:val="BodyText"/>
      </w:pPr>
      <w:r>
        <w:rPr>
          <w:b/>
          <w:bCs/>
        </w:rPr>
        <w:t>Two concentrations, needing two different programmes.</w:t>
      </w:r>
    </w:p>
    <w:p w14:paraId="7CFB4CA6" w14:textId="77777777" w:rsidR="00196639" w:rsidRDefault="00000000">
      <w:pPr>
        <w:pStyle w:val="BodyText"/>
      </w:pPr>
      <w:r>
        <w:rPr>
          <w:b/>
          <w:bCs/>
        </w:rPr>
        <w:t>India</w:t>
      </w:r>
      <w:r>
        <w:t xml:space="preserve"> is the single largest concentration of child wasting in the world, at nearly 19% in a large and stable country. The question there is integration into a functioning routine system at enormous scale.</w:t>
      </w:r>
    </w:p>
    <w:p w14:paraId="4FB88772" w14:textId="77777777" w:rsidR="00196639" w:rsidRDefault="00000000">
      <w:pPr>
        <w:pStyle w:val="BodyText"/>
      </w:pPr>
      <w:r>
        <w:rPr>
          <w:b/>
          <w:bCs/>
        </w:rPr>
        <w:t>A crisis-affected belt running from the Sahel through Sudan to Yemen and the Horn</w:t>
      </w:r>
      <w:r>
        <w:t xml:space="preserve"> carries the other concentration. Niger, Burkina Faso and Chad sit at roughly double the sub-Saharan African average, and Sudan’s most recent figure pre-dates the current conflict. This is where caseloads surge episodically, where simplified protocols matter most, where WHO’s recommendation on blanket treatment of moderate wasting in humanitarian crises applies, and where relapse runs highest.</w:t>
      </w:r>
    </w:p>
    <w:p w14:paraId="75310617" w14:textId="77777777" w:rsidR="00196639" w:rsidRDefault="00000000">
      <w:pPr>
        <w:pStyle w:val="BodyText"/>
      </w:pPr>
      <w:r>
        <w:rPr>
          <w:b/>
          <w:bCs/>
        </w:rPr>
        <w:t>Two cautions.</w:t>
      </w:r>
      <w:r>
        <w:t xml:space="preserve"> Regional averages mislead in both directions — sub-Saharan Africa’s 5.9% conceals the Sahel, and South Asia’s 14.1% is essentially India. And </w:t>
      </w:r>
      <w:r>
        <w:rPr>
          <w:b/>
          <w:bCs/>
        </w:rPr>
        <w:t>sub-national variation almost certainly exceeds these between-country differences</w:t>
      </w:r>
      <w:r>
        <w:t>: Nigeria’s 6.5% national figure spans northern states far above it. Any siting decision should be made on sub-national data.</w:t>
      </w:r>
    </w:p>
    <w:p w14:paraId="74C38CD9" w14:textId="77777777" w:rsidR="00196639" w:rsidRDefault="00FF2E54">
      <w:r>
        <w:rPr>
          <w:noProof/>
        </w:rPr>
      </w:r>
      <w:r>
        <w:pict w14:anchorId="133730FB">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FF61A3" w14:textId="77777777" w:rsidR="00196639" w:rsidRDefault="00000000">
      <w:pPr>
        <w:pStyle w:val="Heading1"/>
      </w:pPr>
      <w:bookmarkStart w:id="11" w:name="X5afd26b57c85d0acaea20814ce84f7d7ea14079"/>
      <w:bookmarkEnd w:id="8"/>
      <w:bookmarkEnd w:id="10"/>
      <w:r>
        <w:lastRenderedPageBreak/>
        <w:t>5. Why it doesn’t scale — and what to do about it</w:t>
      </w:r>
    </w:p>
    <w:p w14:paraId="3C5166FB" w14:textId="77777777" w:rsidR="00196639" w:rsidRDefault="00000000">
      <w:pPr>
        <w:pStyle w:val="FirstParagraph"/>
      </w:pPr>
      <w:r>
        <w:t>This is where the partner steer was right: the constraint is operational.</w:t>
      </w:r>
    </w:p>
    <w:p w14:paraId="19E890F0" w14:textId="77777777" w:rsidR="00196639" w:rsidRDefault="00000000">
      <w:pPr>
        <w:pStyle w:val="Heading2"/>
      </w:pPr>
      <w:bookmarkStart w:id="12" w:name="X4d4c37822558757d3ea3b2311b2f7085d0f80fe"/>
      <w:r>
        <w:t>5.1 Finding children and treating them are two different problems</w:t>
      </w:r>
    </w:p>
    <w:p w14:paraId="0A0D144B" w14:textId="77777777" w:rsidR="00196639" w:rsidRDefault="00000000">
      <w:pPr>
        <w:pStyle w:val="FirstParagraph"/>
      </w:pPr>
      <w:r>
        <w:rPr>
          <w:b/>
          <w:bCs/>
        </w:rPr>
        <w:t>A programme can succeed dramatically at one while failing at the other.</w:t>
      </w:r>
      <w:r>
        <w:t xml:space="preserve"> In Burundi, clinic-based systematic screening enrolled </w:t>
      </w:r>
      <w:r>
        <w:rPr>
          <w:b/>
          <w:bCs/>
        </w:rPr>
        <w:t>98% of detected cases into treatment, against 8% for community mass screening</w:t>
      </w:r>
      <w:r>
        <w:t xml:space="preserve"> — while community screening detected a lower prevalence. In Mali, a programme raised screening coverage by 40 percentage points while only 7.6% of cases across both study arms received appropriate treatment.</w:t>
      </w:r>
    </w:p>
    <w:p w14:paraId="32D03134" w14:textId="77777777" w:rsidR="00196639" w:rsidRDefault="00000000">
      <w:pPr>
        <w:pStyle w:val="BodyText"/>
      </w:pPr>
      <w:r>
        <w:rPr>
          <w:b/>
          <w:bCs/>
        </w:rPr>
        <w:t>Any coverage target should specify which of the two it means</w:t>
      </w:r>
      <w:r>
        <w:t>, and any design should measure both. Detection without a functioning conversion pathway produces identified children who are never treated.</w:t>
      </w:r>
    </w:p>
    <w:p w14:paraId="77FC54F4" w14:textId="77777777" w:rsidR="00196639" w:rsidRDefault="00000000">
      <w:pPr>
        <w:pStyle w:val="Heading2"/>
      </w:pPr>
      <w:bookmarkStart w:id="13" w:name="X1d1e93899518e2d345bf57e29dca267cef46674"/>
      <w:bookmarkEnd w:id="12"/>
      <w:r>
        <w:t>5.2 Recovery at discharge overstates durable effect</w:t>
      </w:r>
    </w:p>
    <w:p w14:paraId="26541645" w14:textId="77777777" w:rsidR="00196639" w:rsidRDefault="00000000">
      <w:pPr>
        <w:pStyle w:val="FirstParagraph"/>
      </w:pPr>
      <w:r>
        <w:t xml:space="preserve">Within six months of discharge from wasting treatment, </w:t>
      </w:r>
      <w:r>
        <w:rPr>
          <w:b/>
          <w:bCs/>
        </w:rPr>
        <w:t>22–63% of recovered children relapse</w:t>
      </w:r>
      <w:r>
        <w:t xml:space="preserve"> — Somalia 22%, Mali 30%, South Sudan 63% — at 1.2 to 6.2 times the risk of children never malnourished.</w:t>
      </w:r>
    </w:p>
    <w:p w14:paraId="02E711B0" w14:textId="77777777" w:rsidR="00196639" w:rsidRDefault="00000000">
      <w:pPr>
        <w:pStyle w:val="BodyText"/>
      </w:pPr>
      <w:r>
        <w:rPr>
          <w:b/>
          <w:bCs/>
        </w:rPr>
        <w:t>What predicts relapse is not the child’s condition at discharge.</w:t>
      </w:r>
      <w:r>
        <w:t xml:space="preserve"> Higher anthropometry at discharge is protective, but few discharge-time factors predict outcome; </w:t>
      </w:r>
      <w:r>
        <w:rPr>
          <w:b/>
          <w:bCs/>
        </w:rPr>
        <w:t>food insecurity and illness after discharge do.</w:t>
      </w:r>
      <w:r>
        <w:t xml:space="preserve"> The determinants sit outside the treatment episode.</w:t>
      </w:r>
    </w:p>
    <w:p w14:paraId="759E3E63" w14:textId="77777777" w:rsidR="00196639" w:rsidRDefault="00000000">
      <w:pPr>
        <w:pStyle w:val="BodyText"/>
      </w:pPr>
      <w:r>
        <w:rPr>
          <w:b/>
          <w:bCs/>
        </w:rPr>
        <w:t>The design implication is concrete.</w:t>
      </w:r>
      <w:r>
        <w:t xml:space="preserve"> Post-discharge support is not an optional extra, and WHO’s 2023 guideline now recommends </w:t>
      </w:r>
      <w:r>
        <w:rPr>
          <w:b/>
          <w:bCs/>
        </w:rPr>
        <w:t>cash transfers in addition to routine care to decrease relapse</w:t>
      </w:r>
      <w:r>
        <w:t xml:space="preserve"> (conditional recommendation, moderate certainty). This is the clearest opening in the evidence for pairing treatment with a social-protection component.</w:t>
      </w:r>
    </w:p>
    <w:p w14:paraId="52CC57AC" w14:textId="77777777" w:rsidR="00196639" w:rsidRDefault="00000000">
      <w:pPr>
        <w:pStyle w:val="Heading2"/>
      </w:pPr>
      <w:bookmarkStart w:id="14" w:name="Xba285b3b9d60e49f9b39b809749e6c58117ef26"/>
      <w:bookmarkEnd w:id="13"/>
      <w:r>
        <w:t>5.3 Supply chain is the hardest part of the MMS transition</w:t>
      </w:r>
    </w:p>
    <w:p w14:paraId="044C4E0F" w14:textId="77777777" w:rsidR="00196639" w:rsidRDefault="00000000">
      <w:pPr>
        <w:pStyle w:val="FirstParagraph"/>
      </w:pPr>
      <w:r>
        <w:t xml:space="preserve">Implementation research across </w:t>
      </w:r>
      <w:r>
        <w:rPr>
          <w:b/>
          <w:bCs/>
        </w:rPr>
        <w:t>Bangladesh, Burkina Faso, Madagascar and Tanzania</w:t>
      </w:r>
      <w:r>
        <w:t xml:space="preserve"> found supply chain to be “one of the most challenging aspects” in every country. Barriers common to all four were </w:t>
      </w:r>
      <w:r>
        <w:rPr>
          <w:b/>
          <w:bCs/>
        </w:rPr>
        <w:t>late or poor antenatal attendance</w:t>
      </w:r>
      <w:r>
        <w:t xml:space="preserve"> and </w:t>
      </w:r>
      <w:r>
        <w:rPr>
          <w:b/>
          <w:bCs/>
        </w:rPr>
        <w:t>distance from health facilities</w:t>
      </w:r>
      <w:r>
        <w:t>; low adherence and side effects were barriers in three.</w:t>
      </w:r>
    </w:p>
    <w:p w14:paraId="7E5B507D" w14:textId="77777777" w:rsidR="00196639" w:rsidRDefault="00000000">
      <w:pPr>
        <w:pStyle w:val="BodyText"/>
      </w:pPr>
      <w:r>
        <w:rPr>
          <w:b/>
          <w:bCs/>
        </w:rPr>
        <w:t>Enablers were consistent too:</w:t>
      </w:r>
      <w:r>
        <w:t xml:space="preserve"> government leadership and multisectoral coordination; integration into existing systems rather than parallel structures; inclusion on national essential medicines lists; and community engagement. Tanzania integrated MMS into its national electronic logistics management system; Madagascar added it to its essential medicines list.</w:t>
      </w:r>
    </w:p>
    <w:p w14:paraId="102BD0B6" w14:textId="77777777" w:rsidR="00196639" w:rsidRDefault="00000000">
      <w:pPr>
        <w:pStyle w:val="BodyText"/>
      </w:pPr>
      <w:r>
        <w:rPr>
          <w:b/>
          <w:bCs/>
        </w:rPr>
        <w:t>Acceptability is an asset here.</w:t>
      </w:r>
      <w:r>
        <w:t xml:space="preserve"> Women reported preferring MMS to iron-folic acid, with fewer side effects — a modest but real adherence advantage.</w:t>
      </w:r>
    </w:p>
    <w:p w14:paraId="7BF28EFC" w14:textId="77777777" w:rsidR="00196639" w:rsidRDefault="00000000">
      <w:pPr>
        <w:pStyle w:val="BodyText"/>
      </w:pPr>
      <w:r>
        <w:rPr>
          <w:b/>
          <w:bCs/>
        </w:rPr>
        <w:t>The caution:</w:t>
      </w:r>
      <w:r>
        <w:t xml:space="preserve"> the commodity substitutes into an existing channel, but the binding constraints are antenatal attendance and stock management, and the switch itself fixes neither. A design that changes the tablet without addressing contact timing and supply will move coverage very little.</w:t>
      </w:r>
    </w:p>
    <w:p w14:paraId="23645495" w14:textId="77777777" w:rsidR="00196639" w:rsidRDefault="00000000">
      <w:pPr>
        <w:pStyle w:val="Heading2"/>
      </w:pPr>
      <w:bookmarkStart w:id="15" w:name="X64424a2e1fdf2bb26698167fc81628bc46b2f74"/>
      <w:bookmarkEnd w:id="14"/>
      <w:r>
        <w:lastRenderedPageBreak/>
        <w:t>5.4 Reach can be bought at the cost of quality</w:t>
      </w:r>
    </w:p>
    <w:p w14:paraId="5B0D9558" w14:textId="77777777" w:rsidR="00196639" w:rsidRDefault="00000000">
      <w:pPr>
        <w:pStyle w:val="FirstParagraph"/>
      </w:pPr>
      <w:r>
        <w:t>Decentralising treatment to community health workers raises coverage. It does not automatically maintain recovery: in one randomised comparison, community-delivered treatment recovered 76.0% of children against 83.0% at facilities. Supervision is the difference, and it has to be resourced rather than assumed.</w:t>
      </w:r>
    </w:p>
    <w:p w14:paraId="33273A2B" w14:textId="77777777" w:rsidR="00196639" w:rsidRDefault="00000000">
      <w:pPr>
        <w:pStyle w:val="Heading2"/>
      </w:pPr>
      <w:bookmarkStart w:id="16" w:name="what-actually-scales-behaviour-change"/>
      <w:bookmarkEnd w:id="15"/>
      <w:r>
        <w:t>5.5 What actually scales behaviour change</w:t>
      </w:r>
    </w:p>
    <w:p w14:paraId="02EF5E5D" w14:textId="77777777" w:rsidR="00196639" w:rsidRDefault="00000000">
      <w:pPr>
        <w:pStyle w:val="FirstParagraph"/>
      </w:pPr>
      <w:r>
        <w:t xml:space="preserve">The strongest at-scale result in this evidence base comes from breastfeeding programming that combined </w:t>
      </w:r>
      <w:r>
        <w:rPr>
          <w:b/>
          <w:bCs/>
        </w:rPr>
        <w:t>intensive interpersonal counselling, mass media and community mobilisation</w:t>
      </w:r>
      <w:r>
        <w:t xml:space="preserve"> with policy advocacy, evaluated by cluster-randomised design in two countries:</w:t>
      </w:r>
    </w:p>
    <w:tbl>
      <w:tblPr>
        <w:tblStyle w:val="Table0"/>
        <w:tblW w:w="5000" w:type="pct"/>
        <w:tblInd w:w="100" w:type="dxa"/>
        <w:tblLayout w:type="fixed"/>
        <w:tblLook w:val="0020" w:firstRow="1" w:lastRow="0" w:firstColumn="0" w:lastColumn="0" w:noHBand="0" w:noVBand="0"/>
      </w:tblPr>
      <w:tblGrid>
        <w:gridCol w:w="3186"/>
        <w:gridCol w:w="3187"/>
        <w:gridCol w:w="3187"/>
      </w:tblGrid>
      <w:tr w:rsidR="00196639" w14:paraId="2116A6C3"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03C7FD" w14:textId="77777777" w:rsidR="00196639" w:rsidRDefault="00196639">
            <w:pPr>
              <w:pStyle w:val="Compact"/>
            </w:pPr>
          </w:p>
        </w:tc>
        <w:tc>
          <w:tcPr>
            <w:tcW w:w="2640" w:type="dxa"/>
          </w:tcPr>
          <w:p w14:paraId="101C0337" w14:textId="77777777" w:rsidR="00196639" w:rsidRDefault="00000000">
            <w:pPr>
              <w:pStyle w:val="Compact"/>
            </w:pPr>
            <w:r>
              <w:t>Bangladesh</w:t>
            </w:r>
          </w:p>
        </w:tc>
        <w:tc>
          <w:tcPr>
            <w:tcW w:w="2640" w:type="dxa"/>
          </w:tcPr>
          <w:p w14:paraId="1DB41858" w14:textId="77777777" w:rsidR="00196639" w:rsidRDefault="00000000">
            <w:pPr>
              <w:pStyle w:val="Compact"/>
            </w:pPr>
            <w:r>
              <w:t>Viet Nam</w:t>
            </w:r>
          </w:p>
        </w:tc>
      </w:tr>
      <w:tr w:rsidR="00196639" w14:paraId="7C731D7C" w14:textId="77777777">
        <w:tc>
          <w:tcPr>
            <w:tcW w:w="2640" w:type="dxa"/>
          </w:tcPr>
          <w:p w14:paraId="7D08428E" w14:textId="77777777" w:rsidR="00196639" w:rsidRDefault="00000000">
            <w:pPr>
              <w:pStyle w:val="Compact"/>
            </w:pPr>
            <w:r>
              <w:t>Exclusive breastfeeding impact</w:t>
            </w:r>
          </w:p>
        </w:tc>
        <w:tc>
          <w:tcPr>
            <w:tcW w:w="2640" w:type="dxa"/>
          </w:tcPr>
          <w:p w14:paraId="40EE38DF" w14:textId="77777777" w:rsidR="00196639" w:rsidRDefault="00000000">
            <w:pPr>
              <w:pStyle w:val="Compact"/>
            </w:pPr>
            <w:r>
              <w:rPr>
                <w:b/>
                <w:bCs/>
              </w:rPr>
              <w:t>+36.2 points (21.0–51.5)</w:t>
            </w:r>
          </w:p>
        </w:tc>
        <w:tc>
          <w:tcPr>
            <w:tcW w:w="2640" w:type="dxa"/>
          </w:tcPr>
          <w:p w14:paraId="0E08A373" w14:textId="77777777" w:rsidR="00196639" w:rsidRDefault="00000000">
            <w:pPr>
              <w:pStyle w:val="Compact"/>
            </w:pPr>
            <w:r>
              <w:rPr>
                <w:b/>
                <w:bCs/>
              </w:rPr>
              <w:t>+27.9 points (17.7–38.1)</w:t>
            </w:r>
          </w:p>
        </w:tc>
      </w:tr>
      <w:tr w:rsidR="00196639" w14:paraId="761EAC7B" w14:textId="77777777">
        <w:tc>
          <w:tcPr>
            <w:tcW w:w="2640" w:type="dxa"/>
          </w:tcPr>
          <w:p w14:paraId="673F0C6A" w14:textId="77777777" w:rsidR="00196639" w:rsidRDefault="00000000">
            <w:pPr>
              <w:pStyle w:val="Compact"/>
            </w:pPr>
            <w:r>
              <w:t>Endline, intensive vs comparison</w:t>
            </w:r>
          </w:p>
        </w:tc>
        <w:tc>
          <w:tcPr>
            <w:tcW w:w="2640" w:type="dxa"/>
          </w:tcPr>
          <w:p w14:paraId="78CC2DC6" w14:textId="77777777" w:rsidR="00196639" w:rsidRDefault="00000000">
            <w:pPr>
              <w:pStyle w:val="Compact"/>
            </w:pPr>
            <w:r>
              <w:rPr>
                <w:b/>
                <w:bCs/>
              </w:rPr>
              <w:t>87.6% vs 53.5%</w:t>
            </w:r>
          </w:p>
        </w:tc>
        <w:tc>
          <w:tcPr>
            <w:tcW w:w="2640" w:type="dxa"/>
          </w:tcPr>
          <w:p w14:paraId="4C04FB04" w14:textId="77777777" w:rsidR="00196639" w:rsidRDefault="00000000">
            <w:pPr>
              <w:pStyle w:val="Compact"/>
            </w:pPr>
            <w:r>
              <w:t>57.8% vs 28.4%</w:t>
            </w:r>
          </w:p>
        </w:tc>
      </w:tr>
      <w:tr w:rsidR="00196639" w14:paraId="5EF5651C" w14:textId="77777777">
        <w:tc>
          <w:tcPr>
            <w:tcW w:w="2640" w:type="dxa"/>
          </w:tcPr>
          <w:p w14:paraId="11CBD755" w14:textId="77777777" w:rsidR="00196639" w:rsidRDefault="00000000">
            <w:pPr>
              <w:pStyle w:val="Compact"/>
            </w:pPr>
            <w:r>
              <w:t>Delivery channel</w:t>
            </w:r>
          </w:p>
        </w:tc>
        <w:tc>
          <w:tcPr>
            <w:tcW w:w="2640" w:type="dxa"/>
          </w:tcPr>
          <w:p w14:paraId="541099E4" w14:textId="77777777" w:rsidR="00196639" w:rsidRDefault="00000000">
            <w:pPr>
              <w:pStyle w:val="Compact"/>
            </w:pPr>
            <w:r>
              <w:t>NGO frontline health programme</w:t>
            </w:r>
          </w:p>
        </w:tc>
        <w:tc>
          <w:tcPr>
            <w:tcW w:w="2640" w:type="dxa"/>
          </w:tcPr>
          <w:p w14:paraId="1BEC9AA5" w14:textId="77777777" w:rsidR="00196639" w:rsidRDefault="00000000">
            <w:pPr>
              <w:pStyle w:val="Compact"/>
            </w:pPr>
            <w:r>
              <w:rPr>
                <w:b/>
                <w:bCs/>
              </w:rPr>
              <w:t>Government health facilities</w:t>
            </w:r>
            <w:r>
              <w:t>, social-franchise model</w:t>
            </w:r>
          </w:p>
        </w:tc>
      </w:tr>
    </w:tbl>
    <w:p w14:paraId="0734D3B8" w14:textId="77777777" w:rsidR="00196639" w:rsidRDefault="00000000">
      <w:pPr>
        <w:pStyle w:val="BodyText"/>
      </w:pPr>
      <w:r>
        <w:rPr>
          <w:b/>
          <w:bCs/>
        </w:rPr>
        <w:t>Two lessons.</w:t>
      </w:r>
      <w:r>
        <w:t xml:space="preserve"> These effect sizes dwarf anything in the individual-counselling literature because the intervention is a </w:t>
      </w:r>
      <w:r>
        <w:rPr>
          <w:i/>
          <w:iCs/>
        </w:rPr>
        <w:t>system</w:t>
      </w:r>
      <w:r>
        <w:t>, not a contact. And the two countries achieved comparable results through different channels — one NGO, one government — which is the strongest evidence available that the channel is substitutable and that a government-anchored version is achievable.</w:t>
      </w:r>
    </w:p>
    <w:p w14:paraId="10AAE694" w14:textId="77777777" w:rsidR="00196639" w:rsidRDefault="00FF2E54">
      <w:r>
        <w:rPr>
          <w:noProof/>
        </w:rPr>
      </w:r>
      <w:r>
        <w:pict w14:anchorId="50D67745">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5C801B" w14:textId="77777777" w:rsidR="00196639" w:rsidRDefault="00000000">
      <w:pPr>
        <w:pStyle w:val="Heading1"/>
      </w:pPr>
      <w:bookmarkStart w:id="17" w:name="three-packaged-options"/>
      <w:bookmarkEnd w:id="11"/>
      <w:bookmarkEnd w:id="16"/>
      <w:r>
        <w:t>6. Three packaged options</w:t>
      </w:r>
    </w:p>
    <w:tbl>
      <w:tblPr>
        <w:tblStyle w:val="Table0"/>
        <w:tblW w:w="5000" w:type="pct"/>
        <w:tblInd w:w="100" w:type="dxa"/>
        <w:tblLayout w:type="fixed"/>
        <w:tblLook w:val="0020" w:firstRow="1" w:lastRow="0" w:firstColumn="0" w:lastColumn="0" w:noHBand="0" w:noVBand="0"/>
      </w:tblPr>
      <w:tblGrid>
        <w:gridCol w:w="2390"/>
        <w:gridCol w:w="2390"/>
        <w:gridCol w:w="2390"/>
        <w:gridCol w:w="2390"/>
      </w:tblGrid>
      <w:tr w:rsidR="00196639" w14:paraId="0F17BFA7" w14:textId="77777777" w:rsidTr="001966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AB321A" w14:textId="77777777" w:rsidR="00196639" w:rsidRDefault="00196639">
            <w:pPr>
              <w:pStyle w:val="Compact"/>
            </w:pPr>
          </w:p>
        </w:tc>
        <w:tc>
          <w:tcPr>
            <w:tcW w:w="1980" w:type="dxa"/>
          </w:tcPr>
          <w:p w14:paraId="7CADBBF3" w14:textId="77777777" w:rsidR="00196639" w:rsidRDefault="00000000">
            <w:pPr>
              <w:pStyle w:val="Compact"/>
            </w:pPr>
            <w:r>
              <w:rPr>
                <w:bCs/>
              </w:rPr>
              <w:t>A — Facility newborn</w:t>
            </w:r>
          </w:p>
        </w:tc>
        <w:tc>
          <w:tcPr>
            <w:tcW w:w="1980" w:type="dxa"/>
          </w:tcPr>
          <w:p w14:paraId="30105570" w14:textId="77777777" w:rsidR="00196639" w:rsidRDefault="00000000">
            <w:pPr>
              <w:pStyle w:val="Compact"/>
            </w:pPr>
            <w:r>
              <w:rPr>
                <w:bCs/>
              </w:rPr>
              <w:t>B — Community treatment</w:t>
            </w:r>
          </w:p>
        </w:tc>
        <w:tc>
          <w:tcPr>
            <w:tcW w:w="1980" w:type="dxa"/>
          </w:tcPr>
          <w:p w14:paraId="7DAA7357" w14:textId="77777777" w:rsidR="00196639" w:rsidRDefault="00000000">
            <w:pPr>
              <w:pStyle w:val="Compact"/>
            </w:pPr>
            <w:r>
              <w:rPr>
                <w:bCs/>
              </w:rPr>
              <w:t>C — Antenatal commodity</w:t>
            </w:r>
          </w:p>
        </w:tc>
      </w:tr>
      <w:tr w:rsidR="00196639" w14:paraId="0BFB4EF1" w14:textId="77777777">
        <w:tc>
          <w:tcPr>
            <w:tcW w:w="1980" w:type="dxa"/>
          </w:tcPr>
          <w:p w14:paraId="1D20247D" w14:textId="77777777" w:rsidR="00196639" w:rsidRDefault="00000000">
            <w:pPr>
              <w:pStyle w:val="Compact"/>
            </w:pPr>
            <w:r>
              <w:rPr>
                <w:b/>
                <w:bCs/>
              </w:rPr>
              <w:t>What it is</w:t>
            </w:r>
          </w:p>
        </w:tc>
        <w:tc>
          <w:tcPr>
            <w:tcW w:w="1980" w:type="dxa"/>
          </w:tcPr>
          <w:p w14:paraId="75249970" w14:textId="77777777" w:rsidR="00196639" w:rsidRDefault="00000000">
            <w:pPr>
              <w:pStyle w:val="Compact"/>
            </w:pPr>
            <w:r>
              <w:t>Kangaroo mother care and skin-to-skin for preterm and low-birth-weight infants, plus early initiation at the facility, followed by community counselling at 4–8 contacts</w:t>
            </w:r>
          </w:p>
        </w:tc>
        <w:tc>
          <w:tcPr>
            <w:tcW w:w="1980" w:type="dxa"/>
          </w:tcPr>
          <w:p w14:paraId="181F4936" w14:textId="77777777" w:rsidR="00196639" w:rsidRDefault="00000000">
            <w:pPr>
              <w:pStyle w:val="Compact"/>
            </w:pPr>
            <w:r>
              <w:t>Wasting treatment decentralised to community health workers with a simplified protocol for the uncomplicated caseload, plus supervision, supply chain and post-discharge support</w:t>
            </w:r>
          </w:p>
        </w:tc>
        <w:tc>
          <w:tcPr>
            <w:tcW w:w="1980" w:type="dxa"/>
          </w:tcPr>
          <w:p w14:paraId="03486946" w14:textId="77777777" w:rsidR="00196639" w:rsidRDefault="00000000">
            <w:pPr>
              <w:pStyle w:val="Compact"/>
            </w:pPr>
            <w:r>
              <w:t>Substituting MMS for iron-folic acid in routine antenatal care, with contact intensification, counselling and supply-chain strengthening</w:t>
            </w:r>
          </w:p>
        </w:tc>
      </w:tr>
      <w:tr w:rsidR="00196639" w14:paraId="016ACB15" w14:textId="77777777">
        <w:tc>
          <w:tcPr>
            <w:tcW w:w="1980" w:type="dxa"/>
          </w:tcPr>
          <w:p w14:paraId="431022FC" w14:textId="77777777" w:rsidR="00196639" w:rsidRDefault="00000000">
            <w:pPr>
              <w:pStyle w:val="Compact"/>
            </w:pPr>
            <w:r>
              <w:rPr>
                <w:b/>
                <w:bCs/>
              </w:rPr>
              <w:t>Scaling position</w:t>
            </w:r>
          </w:p>
        </w:tc>
        <w:tc>
          <w:tcPr>
            <w:tcW w:w="1980" w:type="dxa"/>
          </w:tcPr>
          <w:p w14:paraId="5D1AE731" w14:textId="77777777" w:rsidR="00196639" w:rsidRDefault="00000000">
            <w:pPr>
              <w:pStyle w:val="Compact"/>
            </w:pPr>
            <w:r>
              <w:t>Health-system platform + behavioural</w:t>
            </w:r>
          </w:p>
        </w:tc>
        <w:tc>
          <w:tcPr>
            <w:tcW w:w="1980" w:type="dxa"/>
          </w:tcPr>
          <w:p w14:paraId="6C24228F" w14:textId="77777777" w:rsidR="00196639" w:rsidRDefault="00000000">
            <w:pPr>
              <w:pStyle w:val="Compact"/>
            </w:pPr>
            <w:r>
              <w:t>Health-system treatment</w:t>
            </w:r>
          </w:p>
        </w:tc>
        <w:tc>
          <w:tcPr>
            <w:tcW w:w="1980" w:type="dxa"/>
          </w:tcPr>
          <w:p w14:paraId="414EA709" w14:textId="77777777" w:rsidR="00196639" w:rsidRDefault="00000000">
            <w:pPr>
              <w:pStyle w:val="Compact"/>
            </w:pPr>
            <w:r>
              <w:t>Commodity</w:t>
            </w:r>
          </w:p>
        </w:tc>
      </w:tr>
      <w:tr w:rsidR="00196639" w14:paraId="4E0F0BF6" w14:textId="77777777">
        <w:tc>
          <w:tcPr>
            <w:tcW w:w="1980" w:type="dxa"/>
          </w:tcPr>
          <w:p w14:paraId="78FD8AB0" w14:textId="77777777" w:rsidR="00196639" w:rsidRDefault="00000000">
            <w:pPr>
              <w:pStyle w:val="Compact"/>
            </w:pPr>
            <w:r>
              <w:rPr>
                <w:b/>
                <w:bCs/>
              </w:rPr>
              <w:lastRenderedPageBreak/>
              <w:t>Strongest evidence</w:t>
            </w:r>
          </w:p>
        </w:tc>
        <w:tc>
          <w:tcPr>
            <w:tcW w:w="1980" w:type="dxa"/>
          </w:tcPr>
          <w:p w14:paraId="31BE8CA2" w14:textId="77777777" w:rsidR="00196639" w:rsidRDefault="00000000">
            <w:pPr>
              <w:pStyle w:val="Compact"/>
            </w:pPr>
            <w:r>
              <w:rPr>
                <w:b/>
                <w:bCs/>
              </w:rPr>
              <w:t>Mortality in preterm/low-birth-weight infants, high certainty</w:t>
            </w:r>
            <w:r>
              <w:t xml:space="preserve"> (RR 0.68)</w:t>
            </w:r>
          </w:p>
        </w:tc>
        <w:tc>
          <w:tcPr>
            <w:tcW w:w="1980" w:type="dxa"/>
          </w:tcPr>
          <w:p w14:paraId="7625EA1B" w14:textId="77777777" w:rsidR="00196639" w:rsidRDefault="00000000">
            <w:pPr>
              <w:pStyle w:val="Compact"/>
            </w:pPr>
            <w:r>
              <w:t>Recovery vs dietary alternatives (RR 1.33); very large untreated mortality risk (HR 11.63)</w:t>
            </w:r>
          </w:p>
        </w:tc>
        <w:tc>
          <w:tcPr>
            <w:tcW w:w="1980" w:type="dxa"/>
          </w:tcPr>
          <w:p w14:paraId="2793040C" w14:textId="77777777" w:rsidR="00196639" w:rsidRDefault="00000000">
            <w:pPr>
              <w:pStyle w:val="Compact"/>
            </w:pPr>
            <w:r>
              <w:rPr>
                <w:b/>
                <w:bCs/>
              </w:rPr>
              <w:t>Low birthweight, high certainty</w:t>
            </w:r>
            <w:r>
              <w:t xml:space="preserve"> (RR 0.88)</w:t>
            </w:r>
          </w:p>
        </w:tc>
      </w:tr>
      <w:tr w:rsidR="00196639" w14:paraId="3E5901FF" w14:textId="77777777">
        <w:tc>
          <w:tcPr>
            <w:tcW w:w="1980" w:type="dxa"/>
          </w:tcPr>
          <w:p w14:paraId="324AC0C6" w14:textId="77777777" w:rsidR="00196639" w:rsidRDefault="00000000">
            <w:pPr>
              <w:pStyle w:val="Compact"/>
            </w:pPr>
            <w:r>
              <w:rPr>
                <w:b/>
                <w:bCs/>
              </w:rPr>
              <w:t>Cost</w:t>
            </w:r>
          </w:p>
        </w:tc>
        <w:tc>
          <w:tcPr>
            <w:tcW w:w="1980" w:type="dxa"/>
          </w:tcPr>
          <w:p w14:paraId="78D22EB0" w14:textId="77777777" w:rsidR="00196639" w:rsidRDefault="00000000">
            <w:pPr>
              <w:pStyle w:val="Compact"/>
            </w:pPr>
            <w:r>
              <w:t>Not costed at scale</w:t>
            </w:r>
          </w:p>
        </w:tc>
        <w:tc>
          <w:tcPr>
            <w:tcW w:w="1980" w:type="dxa"/>
          </w:tcPr>
          <w:p w14:paraId="32561012" w14:textId="77777777" w:rsidR="00196639" w:rsidRDefault="00000000">
            <w:pPr>
              <w:pStyle w:val="Compact"/>
            </w:pPr>
            <w:r>
              <w:rPr>
                <w:b/>
                <w:bCs/>
              </w:rPr>
              <w:t>$26–42 per DALY</w:t>
            </w:r>
          </w:p>
        </w:tc>
        <w:tc>
          <w:tcPr>
            <w:tcW w:w="1980" w:type="dxa"/>
          </w:tcPr>
          <w:p w14:paraId="2AB35F3A" w14:textId="77777777" w:rsidR="00196639" w:rsidRDefault="00000000">
            <w:pPr>
              <w:pStyle w:val="Compact"/>
            </w:pPr>
            <w:r>
              <w:rPr>
                <w:b/>
                <w:bCs/>
              </w:rPr>
              <w:t>$21–42 per DALY</w:t>
            </w:r>
            <w:r>
              <w:t>; commodity cost ≈ $0.005/tablet</w:t>
            </w:r>
          </w:p>
        </w:tc>
      </w:tr>
      <w:tr w:rsidR="00196639" w14:paraId="21E24389" w14:textId="77777777">
        <w:tc>
          <w:tcPr>
            <w:tcW w:w="1980" w:type="dxa"/>
          </w:tcPr>
          <w:p w14:paraId="77AE69E0" w14:textId="77777777" w:rsidR="00196639" w:rsidRDefault="00000000">
            <w:pPr>
              <w:pStyle w:val="Compact"/>
            </w:pPr>
            <w:r>
              <w:rPr>
                <w:b/>
                <w:bCs/>
              </w:rPr>
              <w:t>Best geography</w:t>
            </w:r>
          </w:p>
        </w:tc>
        <w:tc>
          <w:tcPr>
            <w:tcW w:w="1980" w:type="dxa"/>
          </w:tcPr>
          <w:p w14:paraId="7920B932" w14:textId="77777777" w:rsidR="00196639" w:rsidRDefault="00000000">
            <w:pPr>
              <w:pStyle w:val="Compact"/>
            </w:pPr>
            <w:r>
              <w:t>High low-birthweight settings with facility delivery — South Asia foremost</w:t>
            </w:r>
          </w:p>
        </w:tc>
        <w:tc>
          <w:tcPr>
            <w:tcW w:w="1980" w:type="dxa"/>
          </w:tcPr>
          <w:p w14:paraId="776DB8E8" w14:textId="77777777" w:rsidR="00196639" w:rsidRDefault="00000000">
            <w:pPr>
              <w:pStyle w:val="Compact"/>
            </w:pPr>
            <w:r>
              <w:t>India at scale; the Sahel–Sudan–Yemen belt in crisis mode</w:t>
            </w:r>
          </w:p>
        </w:tc>
        <w:tc>
          <w:tcPr>
            <w:tcW w:w="1980" w:type="dxa"/>
          </w:tcPr>
          <w:p w14:paraId="475BA553" w14:textId="77777777" w:rsidR="00196639" w:rsidRDefault="00000000">
            <w:pPr>
              <w:pStyle w:val="Compact"/>
            </w:pPr>
            <w:r>
              <w:t>South Asia, and anywhere maternal anaemia is high</w:t>
            </w:r>
          </w:p>
        </w:tc>
      </w:tr>
      <w:tr w:rsidR="00196639" w14:paraId="357470A5" w14:textId="77777777">
        <w:tc>
          <w:tcPr>
            <w:tcW w:w="1980" w:type="dxa"/>
          </w:tcPr>
          <w:p w14:paraId="0045A535" w14:textId="77777777" w:rsidR="00196639" w:rsidRDefault="00000000">
            <w:pPr>
              <w:pStyle w:val="Compact"/>
            </w:pPr>
            <w:r>
              <w:rPr>
                <w:b/>
                <w:bCs/>
              </w:rPr>
              <w:t>Channel already exists?</w:t>
            </w:r>
          </w:p>
        </w:tc>
        <w:tc>
          <w:tcPr>
            <w:tcW w:w="1980" w:type="dxa"/>
          </w:tcPr>
          <w:p w14:paraId="0ADF8BD8" w14:textId="77777777" w:rsidR="00196639" w:rsidRDefault="00000000">
            <w:pPr>
              <w:pStyle w:val="Compact"/>
            </w:pPr>
            <w:r>
              <w:t>Partly — facilities yes, postnatal contact often not</w:t>
            </w:r>
          </w:p>
        </w:tc>
        <w:tc>
          <w:tcPr>
            <w:tcW w:w="1980" w:type="dxa"/>
          </w:tcPr>
          <w:p w14:paraId="3D0489AE" w14:textId="77777777" w:rsidR="00196639" w:rsidRDefault="00000000">
            <w:pPr>
              <w:pStyle w:val="Compact"/>
            </w:pPr>
            <w:r>
              <w:t>Rarely — usually needs building</w:t>
            </w:r>
          </w:p>
        </w:tc>
        <w:tc>
          <w:tcPr>
            <w:tcW w:w="1980" w:type="dxa"/>
          </w:tcPr>
          <w:p w14:paraId="7222A081" w14:textId="77777777" w:rsidR="00196639" w:rsidRDefault="00000000">
            <w:pPr>
              <w:pStyle w:val="Compact"/>
            </w:pPr>
            <w:r>
              <w:rPr>
                <w:b/>
                <w:bCs/>
              </w:rPr>
              <w:t>Yes</w:t>
            </w:r>
            <w:r>
              <w:t xml:space="preserve"> — replaces an existing commodity</w:t>
            </w:r>
          </w:p>
        </w:tc>
      </w:tr>
      <w:tr w:rsidR="00196639" w14:paraId="13216644" w14:textId="77777777">
        <w:tc>
          <w:tcPr>
            <w:tcW w:w="1980" w:type="dxa"/>
          </w:tcPr>
          <w:p w14:paraId="4F12467A" w14:textId="77777777" w:rsidR="00196639" w:rsidRDefault="00000000">
            <w:pPr>
              <w:pStyle w:val="Compact"/>
            </w:pPr>
            <w:r>
              <w:rPr>
                <w:b/>
                <w:bCs/>
              </w:rPr>
              <w:t>Normative backing</w:t>
            </w:r>
          </w:p>
        </w:tc>
        <w:tc>
          <w:tcPr>
            <w:tcW w:w="1980" w:type="dxa"/>
          </w:tcPr>
          <w:p w14:paraId="0B269CAD" w14:textId="77777777" w:rsidR="00196639" w:rsidRDefault="00000000">
            <w:pPr>
              <w:pStyle w:val="Compact"/>
            </w:pPr>
            <w:r>
              <w:rPr>
                <w:b/>
                <w:bCs/>
              </w:rPr>
              <w:t>Strong WHO recommendation, high certainty</w:t>
            </w:r>
          </w:p>
        </w:tc>
        <w:tc>
          <w:tcPr>
            <w:tcW w:w="1980" w:type="dxa"/>
          </w:tcPr>
          <w:p w14:paraId="635550F8" w14:textId="77777777" w:rsidR="00196639" w:rsidRDefault="00000000">
            <w:pPr>
              <w:pStyle w:val="Compact"/>
            </w:pPr>
            <w:r>
              <w:t>Conditional; CHW delivery on very low certainty</w:t>
            </w:r>
          </w:p>
        </w:tc>
        <w:tc>
          <w:tcPr>
            <w:tcW w:w="1980" w:type="dxa"/>
          </w:tcPr>
          <w:p w14:paraId="5B1015CE" w14:textId="77777777" w:rsidR="00196639" w:rsidRDefault="00000000">
            <w:pPr>
              <w:pStyle w:val="Compact"/>
            </w:pPr>
            <w:r>
              <w:t>Research-only recommendation</w:t>
            </w:r>
          </w:p>
        </w:tc>
      </w:tr>
      <w:tr w:rsidR="00196639" w14:paraId="74C8EE85" w14:textId="77777777">
        <w:tc>
          <w:tcPr>
            <w:tcW w:w="1980" w:type="dxa"/>
          </w:tcPr>
          <w:p w14:paraId="035CFDCC" w14:textId="77777777" w:rsidR="00196639" w:rsidRDefault="00000000">
            <w:pPr>
              <w:pStyle w:val="Compact"/>
            </w:pPr>
            <w:r>
              <w:rPr>
                <w:b/>
                <w:bCs/>
              </w:rPr>
              <w:t>Hardest part</w:t>
            </w:r>
          </w:p>
        </w:tc>
        <w:tc>
          <w:tcPr>
            <w:tcW w:w="1980" w:type="dxa"/>
          </w:tcPr>
          <w:p w14:paraId="21812C57" w14:textId="77777777" w:rsidR="00196639" w:rsidRDefault="00000000">
            <w:pPr>
              <w:pStyle w:val="Compact"/>
            </w:pPr>
            <w:r>
              <w:t>Facility coverage and staffing</w:t>
            </w:r>
          </w:p>
        </w:tc>
        <w:tc>
          <w:tcPr>
            <w:tcW w:w="1980" w:type="dxa"/>
          </w:tcPr>
          <w:p w14:paraId="738EC60A" w14:textId="77777777" w:rsidR="00196639" w:rsidRDefault="00000000">
            <w:pPr>
              <w:pStyle w:val="Compact"/>
            </w:pPr>
            <w:r>
              <w:t>Conversion to treatment, quality at scale, relapse</w:t>
            </w:r>
          </w:p>
        </w:tc>
        <w:tc>
          <w:tcPr>
            <w:tcW w:w="1980" w:type="dxa"/>
          </w:tcPr>
          <w:p w14:paraId="475075ED" w14:textId="77777777" w:rsidR="00196639" w:rsidRDefault="00000000">
            <w:pPr>
              <w:pStyle w:val="Compact"/>
            </w:pPr>
            <w:r>
              <w:t>Antenatal attendance and supply chain</w:t>
            </w:r>
          </w:p>
        </w:tc>
      </w:tr>
    </w:tbl>
    <w:p w14:paraId="5B7353F5" w14:textId="77777777" w:rsidR="00196639" w:rsidRDefault="00000000">
      <w:pPr>
        <w:pStyle w:val="BodyText"/>
      </w:pPr>
      <w:r>
        <w:rPr>
          <w:b/>
          <w:bCs/>
        </w:rPr>
        <w:t>Three observations for choosing.</w:t>
      </w:r>
    </w:p>
    <w:p w14:paraId="7268D091" w14:textId="77777777" w:rsidR="00196639" w:rsidRDefault="00000000">
      <w:pPr>
        <w:pStyle w:val="BodyText"/>
      </w:pPr>
      <w:r>
        <w:rPr>
          <w:b/>
          <w:bCs/>
        </w:rPr>
        <w:t>Option C is a substitution into a channel that already exists; Option B usually means building a service that does not.</w:t>
      </w:r>
      <w:r>
        <w:t xml:space="preserve"> That difference matters more for feasibility than any effect size here.</w:t>
      </w:r>
    </w:p>
    <w:p w14:paraId="3A164077" w14:textId="77777777" w:rsidR="00196639" w:rsidRDefault="00000000">
      <w:pPr>
        <w:pStyle w:val="BodyText"/>
      </w:pPr>
      <w:r>
        <w:rPr>
          <w:b/>
          <w:bCs/>
        </w:rPr>
        <w:t>Options A and B draw on the same frontline workforce.</w:t>
      </w:r>
      <w:r>
        <w:t xml:space="preserve"> Running both is the highest-risk configuration, and adding a mandate to an already-loaded cadre is a design risk rather than a free gain.</w:t>
      </w:r>
    </w:p>
    <w:p w14:paraId="02B3DD64" w14:textId="77777777" w:rsidR="00196639" w:rsidRDefault="00000000">
      <w:pPr>
        <w:pStyle w:val="BodyText"/>
      </w:pPr>
      <w:r>
        <w:rPr>
          <w:b/>
          <w:bCs/>
        </w:rPr>
        <w:t>Only Option A carries a high-certainty mortality benefit — but it reaches roughly one birth in seven.</w:t>
      </w:r>
      <w:r>
        <w:t xml:space="preserve"> Option C carries a high-certainty benefit on birth size and reaches every pregnancy. That is a genuine trade-off between depth and breadth, not a ranking.</w:t>
      </w:r>
    </w:p>
    <w:p w14:paraId="4940F5BB" w14:textId="77777777" w:rsidR="00196639" w:rsidRDefault="00FF2E54">
      <w:r>
        <w:rPr>
          <w:noProof/>
        </w:rPr>
      </w:r>
      <w:r>
        <w:pict w14:anchorId="5D47C61C">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1FEDD0" w14:textId="77777777" w:rsidR="00196639" w:rsidRDefault="00000000">
      <w:pPr>
        <w:pStyle w:val="Heading1"/>
      </w:pPr>
      <w:bookmarkStart w:id="18" w:name="what-a-ministry-will-ask"/>
      <w:bookmarkEnd w:id="17"/>
      <w:r>
        <w:t>7. What a ministry will ask</w:t>
      </w:r>
    </w:p>
    <w:p w14:paraId="4FF31E1A" w14:textId="77777777" w:rsidR="00196639" w:rsidRDefault="00000000">
      <w:pPr>
        <w:pStyle w:val="FirstParagraph"/>
      </w:pPr>
      <w:r>
        <w:rPr>
          <w:b/>
          <w:bCs/>
        </w:rPr>
        <w:t>On wasting treatment.</w:t>
      </w:r>
      <w:r>
        <w:t xml:space="preserve"> WHO’s 2023 guideline states that assessment, classification and management or referral of wasting </w:t>
      </w:r>
      <w:r>
        <w:rPr>
          <w:b/>
          <w:bCs/>
        </w:rPr>
        <w:t>can be carried out by community health workers</w:t>
      </w:r>
      <w:r>
        <w:t xml:space="preserve"> with adequate training and regular supervision — but issues this as a </w:t>
      </w:r>
      <w:r>
        <w:rPr>
          <w:b/>
          <w:bCs/>
        </w:rPr>
        <w:t xml:space="preserve">conditional recommendation on very low certainty </w:t>
      </w:r>
      <w:r>
        <w:rPr>
          <w:b/>
          <w:bCs/>
        </w:rPr>
        <w:lastRenderedPageBreak/>
        <w:t>evidence</w:t>
      </w:r>
      <w:r>
        <w:t xml:space="preserve">. It retains </w:t>
      </w:r>
      <w:r>
        <w:rPr>
          <w:b/>
          <w:bCs/>
        </w:rPr>
        <w:t>weight-based RUTF dosing</w:t>
      </w:r>
      <w:r>
        <w:t xml:space="preserve"> and </w:t>
      </w:r>
      <w:r>
        <w:rPr>
          <w:b/>
          <w:bCs/>
        </w:rPr>
        <w:t>dual discharge criteria</w:t>
      </w:r>
      <w:r>
        <w:t xml:space="preserve"> (weight-for-height ≥ −2 SD </w:t>
      </w:r>
      <w:r>
        <w:rPr>
          <w:i/>
          <w:iCs/>
        </w:rPr>
        <w:t>and</w:t>
      </w:r>
      <w:r>
        <w:t xml:space="preserve"> MUAC ≥ 125 mm on two consecutive measurements). It recommends </w:t>
      </w:r>
      <w:r>
        <w:rPr>
          <w:b/>
          <w:bCs/>
        </w:rPr>
        <w:t>targeted specially formulated foods</w:t>
      </w:r>
      <w:r>
        <w:t xml:space="preserve"> for moderate wasting, and </w:t>
      </w:r>
      <w:r>
        <w:rPr>
          <w:b/>
          <w:bCs/>
        </w:rPr>
        <w:t>blanket consideration in humanitarian crises</w:t>
      </w:r>
      <w:r>
        <w:t xml:space="preserve"> (both strong recommendations, moderate certainty).</w:t>
      </w:r>
    </w:p>
    <w:p w14:paraId="3CD6A79C" w14:textId="77777777" w:rsidR="00196639" w:rsidRDefault="00000000">
      <w:pPr>
        <w:pStyle w:val="BodyText"/>
      </w:pPr>
      <w:r>
        <w:rPr>
          <w:b/>
          <w:bCs/>
        </w:rPr>
        <w:t>The implication:</w:t>
      </w:r>
      <w:r>
        <w:t xml:space="preserve"> community-worker delivery is endorsed in principle but not settled in evidence, and the leading simplified protocols depart from WHO’s dosing and discharge criteria. A country adopting them is operating ahead of the guideline. That is defensible and fundable, but it should be presented as such rather than discovered late.</w:t>
      </w:r>
    </w:p>
    <w:p w14:paraId="11E8CF2F" w14:textId="77777777" w:rsidR="00196639" w:rsidRDefault="00000000">
      <w:pPr>
        <w:pStyle w:val="BodyText"/>
      </w:pPr>
      <w:r>
        <w:rPr>
          <w:b/>
          <w:bCs/>
        </w:rPr>
        <w:t>On MMS.</w:t>
      </w:r>
      <w:r>
        <w:t xml:space="preserve"> WHO’s position is unchanged: </w:t>
      </w:r>
      <w:r>
        <w:rPr>
          <w:i/>
          <w:iCs/>
        </w:rPr>
        <w:t>“Antenatal multiple micronutrient supplements that include iron and folic acid are recommended in the context of rigorous research.”</w:t>
      </w:r>
      <w:r>
        <w:t xml:space="preserve"> Daily iron-folic acid remains the recommended standard of care. Any national scale-up conversation starts from the fact that WHO has not endorsed routine substitution — a barrier partners should plan to address explicitly.</w:t>
      </w:r>
    </w:p>
    <w:p w14:paraId="2B610ACD" w14:textId="77777777" w:rsidR="00196639" w:rsidRDefault="00000000">
      <w:pPr>
        <w:pStyle w:val="BodyText"/>
      </w:pPr>
      <w:r>
        <w:rPr>
          <w:b/>
          <w:bCs/>
        </w:rPr>
        <w:t>On kangaroo mother care.</w:t>
      </w:r>
      <w:r>
        <w:t xml:space="preserve"> The strongest position of the three: </w:t>
      </w:r>
      <w:r>
        <w:rPr>
          <w:b/>
          <w:bCs/>
        </w:rPr>
        <w:t>start as soon as possible after birth, strong recommendation on high-certainty evidence</w:t>
      </w:r>
      <w:r>
        <w:t>, for as many hours a day as possible.</w:t>
      </w:r>
    </w:p>
    <w:p w14:paraId="44E83450" w14:textId="77777777" w:rsidR="00196639" w:rsidRDefault="00FF2E54">
      <w:r>
        <w:rPr>
          <w:noProof/>
        </w:rPr>
      </w:r>
      <w:r>
        <w:pict w14:anchorId="5D48A18C">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2BB2BD" w14:textId="77777777" w:rsidR="00196639" w:rsidRDefault="00000000">
      <w:pPr>
        <w:pStyle w:val="Heading1"/>
      </w:pPr>
      <w:bookmarkStart w:id="19" w:name="what-we-dont-know"/>
      <w:bookmarkEnd w:id="18"/>
      <w:r>
        <w:t>8. What we don’t know</w:t>
      </w:r>
    </w:p>
    <w:p w14:paraId="7674AFAF" w14:textId="77777777" w:rsidR="00196639" w:rsidRDefault="00000000">
      <w:pPr>
        <w:pStyle w:val="FirstParagraph"/>
      </w:pPr>
      <w:r>
        <w:rPr>
          <w:b/>
          <w:bCs/>
        </w:rPr>
        <w:t>Wasting treatment has never been trialled against no treatment</w:t>
      </w:r>
      <w:r>
        <w:t>, and now cannot be. The measured benefit therefore understates the true one, and the case rests on cohort evidence about untreated mortality risk.</w:t>
      </w:r>
    </w:p>
    <w:p w14:paraId="7584C129" w14:textId="77777777" w:rsidR="00196639" w:rsidRDefault="00000000">
      <w:pPr>
        <w:pStyle w:val="BodyText"/>
      </w:pPr>
      <w:r>
        <w:rPr>
          <w:b/>
          <w:bCs/>
        </w:rPr>
        <w:t>Simplified protocols in the severest children are unresolved.</w:t>
      </w:r>
      <w:r>
        <w:t xml:space="preserve"> The standard protocol still outperforms on recovery in children with MUAC under 115 mm or oedema. This needs settling before uniform national adoption.</w:t>
      </w:r>
    </w:p>
    <w:p w14:paraId="00F33404" w14:textId="77777777" w:rsidR="00196639" w:rsidRDefault="00000000">
      <w:pPr>
        <w:pStyle w:val="BodyText"/>
      </w:pPr>
      <w:r>
        <w:rPr>
          <w:b/>
          <w:bCs/>
        </w:rPr>
        <w:t>The breastfeeding-specific share of the community mortality benefit is unknown</w:t>
      </w:r>
      <w:r>
        <w:t>, because the packages that reduce neonatal mortality bundle several interventions.</w:t>
      </w:r>
    </w:p>
    <w:p w14:paraId="0D1F2325" w14:textId="77777777" w:rsidR="00196639" w:rsidRDefault="00000000">
      <w:pPr>
        <w:pStyle w:val="BodyText"/>
      </w:pPr>
      <w:r>
        <w:rPr>
          <w:b/>
          <w:bCs/>
        </w:rPr>
        <w:t>MMS effectiveness, as opposed to efficacy, is largely unmeasured.</w:t>
      </w:r>
      <w:r>
        <w:t xml:space="preserve"> Almost all trial evidence comes from supervised conditions, and the cost models assume full adherence and no waste.</w:t>
      </w:r>
    </w:p>
    <w:p w14:paraId="7E9403ED" w14:textId="77777777" w:rsidR="00196639" w:rsidRDefault="00000000">
      <w:pPr>
        <w:pStyle w:val="BodyText"/>
      </w:pPr>
      <w:r>
        <w:rPr>
          <w:b/>
          <w:bCs/>
        </w:rPr>
        <w:t>No trial combines these three interventions with one another.</w:t>
      </w:r>
      <w:r>
        <w:t xml:space="preserve"> Combining within an intervention is well evidenced, as is pairing an intervention with a demand-side mechanism such as cash. Combining across them is untested — and adding a task to a loaded community platform can displace an existing one, so any combined design should treat “does enrolment in the existing service hold?” as a measured outcome.</w:t>
      </w:r>
    </w:p>
    <w:p w14:paraId="0F679D5D" w14:textId="77777777" w:rsidR="00196639" w:rsidRDefault="00000000">
      <w:pPr>
        <w:pStyle w:val="BodyText"/>
      </w:pPr>
      <w:r>
        <w:rPr>
          <w:b/>
          <w:bCs/>
        </w:rPr>
        <w:t>Three data layers would sharpen the targeting</w:t>
      </w:r>
      <w:r>
        <w:t xml:space="preserve"> and are worth assembling before a country decision: </w:t>
      </w:r>
      <w:r>
        <w:rPr>
          <w:b/>
          <w:bCs/>
        </w:rPr>
        <w:t>regional and national maternal anaemia</w:t>
      </w:r>
      <w:r>
        <w:t xml:space="preserve"> (the second MMS targeting variable), </w:t>
      </w:r>
      <w:r>
        <w:rPr>
          <w:b/>
          <w:bCs/>
        </w:rPr>
        <w:t>facility delivery coverage</w:t>
      </w:r>
      <w:r>
        <w:t xml:space="preserve"> (the second variable for the newborn package), and </w:t>
      </w:r>
      <w:r>
        <w:rPr>
          <w:b/>
          <w:bCs/>
        </w:rPr>
        <w:t>sub-national wasting prevalence</w:t>
      </w:r>
      <w:r>
        <w:t>, which for CMAM siting probably matters more than any national comparison in §4.</w:t>
      </w:r>
    </w:p>
    <w:p w14:paraId="150CB70E" w14:textId="77777777" w:rsidR="00196639" w:rsidRDefault="00000000">
      <w:pPr>
        <w:pStyle w:val="BodyText"/>
      </w:pPr>
      <w:r>
        <w:rPr>
          <w:b/>
          <w:bCs/>
        </w:rPr>
        <w:t>And the decisive factors are not in any literature:</w:t>
      </w:r>
      <w:r>
        <w:t xml:space="preserve"> government appetite and current policy windows, partner operating capacity, fragility and security, and the financing landscape. The evidence can say where these interventions have the most to work with. It cannot say where they can actually be built.</w:t>
      </w:r>
      <w:bookmarkEnd w:id="19"/>
    </w:p>
    <w:sectPr w:rsidR="001966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250B3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8D7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66157175">
    <w:abstractNumId w:val="0"/>
  </w:num>
  <w:num w:numId="2" w16cid:durableId="6375347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6639"/>
    <w:rsid w:val="00196639"/>
    <w:rsid w:val="00EE6AC9"/>
    <w:rsid w:val="00EF57D0"/>
    <w:rsid w:val="00FF2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9D3BD85"/>
  <w15:docId w15:val="{F9FA265F-C915-DA42-9489-CFE4F23C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6" w:lineRule="auto"/>
    </w:pPr>
    <w:rPr>
      <w:rFonts w:ascii="Cambria" w:eastAsia="Cambria" w:hAnsi="Cambria" w:cs="Cambria"/>
      <w:color w:val="1A1A1A"/>
      <w:sz w:val="21"/>
      <w:szCs w:val="21"/>
    </w:rPr>
  </w:style>
  <w:style w:type="paragraph" w:styleId="Heading1">
    <w:name w:val="heading 1"/>
    <w:basedOn w:val="Normal"/>
    <w:next w:val="BodyText"/>
    <w:link w:val="Heading1Char"/>
    <w:uiPriority w:val="9"/>
    <w:qFormat/>
    <w:rsid w:val="00A10FD9"/>
    <w:pPr>
      <w:keepNext/>
      <w:keepLines/>
      <w:spacing w:before="420" w:after="160"/>
      <w:outlineLvl w:val="0"/>
    </w:pPr>
    <w:rPr>
      <w:rFonts w:ascii="Calibri" w:eastAsia="Calibri" w:hAnsi="Calibri" w:cs="Calibri"/>
      <w:b/>
      <w:color w:val="12495B"/>
      <w:sz w:val="34"/>
      <w:szCs w:val="34"/>
    </w:rPr>
  </w:style>
  <w:style w:type="paragraph" w:styleId="Heading2">
    <w:name w:val="heading 2"/>
    <w:basedOn w:val="Normal"/>
    <w:next w:val="BodyText"/>
    <w:link w:val="Heading2Char"/>
    <w:uiPriority w:val="9"/>
    <w:semiHidden/>
    <w:unhideWhenUsed/>
    <w:qFormat/>
    <w:rsid w:val="00A10FD9"/>
    <w:pPr>
      <w:keepNext/>
      <w:keepLines/>
      <w:spacing w:before="320" w:after="120"/>
      <w:outlineLvl w:val="1"/>
    </w:pPr>
    <w:rPr>
      <w:rFonts w:ascii="Calibri" w:eastAsia="Calibri" w:hAnsi="Calibri" w:cs="Calibri"/>
      <w:b/>
      <w:color w:val="1F6B7B"/>
      <w:sz w:val="27"/>
      <w:szCs w:val="27"/>
    </w:rPr>
  </w:style>
  <w:style w:type="paragraph" w:styleId="Heading3">
    <w:name w:val="heading 3"/>
    <w:basedOn w:val="Normal"/>
    <w:next w:val="BodyText"/>
    <w:link w:val="Heading3Char"/>
    <w:uiPriority w:val="9"/>
    <w:semiHidden/>
    <w:unhideWhenUsed/>
    <w:qFormat/>
    <w:rsid w:val="00A10FD9"/>
    <w:pPr>
      <w:keepNext/>
      <w:keepLines/>
      <w:spacing w:before="260" w:after="100"/>
      <w:outlineLvl w:val="2"/>
    </w:pPr>
    <w:rPr>
      <w:rFonts w:ascii="Calibri" w:eastAsia="Calibri" w:hAnsi="Calibri" w:cs="Calibri"/>
      <w:b/>
      <w:color w:val="3D4A52"/>
      <w:sz w:val="23"/>
      <w:szCs w:val="23"/>
    </w:rPr>
  </w:style>
  <w:style w:type="paragraph" w:styleId="Heading4">
    <w:name w:val="heading 4"/>
    <w:basedOn w:val="Normal"/>
    <w:next w:val="BodyText"/>
    <w:link w:val="Heading4Char"/>
    <w:uiPriority w:val="9"/>
    <w:semiHidden/>
    <w:unhideWhenUsed/>
    <w:qFormat/>
    <w:rsid w:val="00A10FD9"/>
    <w:pPr>
      <w:keepNext/>
      <w:keepLines/>
      <w:spacing w:before="220" w:after="90"/>
      <w:outlineLvl w:val="3"/>
    </w:pPr>
    <w:rPr>
      <w:rFonts w:ascii="Calibri" w:eastAsia="Calibri" w:hAnsi="Calibri" w:cs="Calibri"/>
      <w:b/>
      <w:color w:val="3D4A5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pBdr>
        <w:bottom w:val="single" w:sz="12" w:space="6" w:color="12495B"/>
      </w:pBdr>
      <w:spacing w:after="120"/>
    </w:pPr>
    <w:rPr>
      <w:rFonts w:ascii="Calibri" w:eastAsia="Calibri" w:hAnsi="Calibri" w:cs="Calibri"/>
      <w:b/>
      <w:color w:val="12495B"/>
      <w:sz w:val="52"/>
      <w:szCs w:val="5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spacing w:after="240"/>
    </w:pPr>
    <w:rPr>
      <w:color w:val="1F6B7B"/>
      <w:sz w:val="26"/>
      <w:szCs w:val="2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top w:val="single" w:sz="4" w:space="8" w:color="C9D6DB"/>
        <w:left w:val="single" w:sz="18" w:space="10" w:color="1F6B7B"/>
        <w:bottom w:val="single" w:sz="4" w:space="8" w:color="C9D6DB"/>
        <w:right w:val="single" w:sz="4" w:space="8" w:color="C9D6DB"/>
      </w:pBdr>
      <w:shd w:val="clear" w:color="auto" w:fill="F2F7F9"/>
      <w:spacing w:before="160" w:after="160" w:line="264" w:lineRule="auto"/>
    </w:pPr>
    <w:rPr>
      <w:sz w:val="20"/>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table" w:customStyle="1" w:styleId="Table0">
    <w:name w:val="Table"/>
    <w:uiPriority w:val="99"/>
    <w:pPr>
      <w:spacing w:before="40" w:after="40"/>
    </w:pPr>
    <w:rPr>
      <w:rFonts w:ascii="Cambria" w:eastAsia="Cambria" w:hAnsi="Cambria" w:cs="Cambria"/>
      <w:sz w:val="19"/>
      <w:szCs w:val="19"/>
      <w:lang w:eastAsia="en-US"/>
    </w:rPr>
    <w:tblPr>
      <w:tblBorders>
        <w:top w:val="single" w:sz="4" w:space="0" w:color="C9D6DB"/>
        <w:left w:val="single" w:sz="4" w:space="0" w:color="C9D6DB"/>
        <w:bottom w:val="single" w:sz="4" w:space="0" w:color="C9D6DB"/>
        <w:right w:val="single" w:sz="4" w:space="0" w:color="C9D6DB"/>
        <w:insideH w:val="single" w:sz="4" w:space="0" w:color="C9D6DB"/>
        <w:insideV w:val="single" w:sz="4" w:space="0" w:color="C9D6DB"/>
      </w:tblBorders>
      <w:tblCellMar>
        <w:top w:w="60" w:type="dxa"/>
        <w:left w:w="100" w:type="dxa"/>
        <w:bottom w:w="60" w:type="dxa"/>
        <w:right w:w="100" w:type="dxa"/>
      </w:tblCellMar>
    </w:tblPr>
    <w:tblStylePr w:type="firstRow">
      <w:rPr>
        <w:b/>
        <w:color w:val="12495B"/>
      </w:rPr>
      <w:tblPr/>
      <w:tcPr>
        <w:shd w:val="clear" w:color="auto" w:fill="E4EDF1"/>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3616</Words>
  <Characters>20612</Characters>
  <Application>Microsoft Office Word</Application>
  <DocSecurity>0</DocSecurity>
  <Lines>171</Lines>
  <Paragraphs>48</Paragraphs>
  <ScaleCrop>false</ScaleCrop>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Three High-Impact Nutrition Interventions</dc:title>
  <dc:creator/>
  <cp:keywords/>
  <cp:lastModifiedBy>Akash Shaji</cp:lastModifiedBy>
  <cp:revision>2</cp:revision>
  <dcterms:created xsi:type="dcterms:W3CDTF">2026-08-06T19:18:00Z</dcterms:created>
  <dcterms:modified xsi:type="dcterms:W3CDTF">2026-08-06T21:03:00Z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Evidence, cost, targeting and implementation — a summary for CARE and IA partners</vt:lpwstr>
  </property>
</Properties>
</file>