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Three Nutrition Interventions Governments Can Move On Now</w:t>
      </w:r>
    </w:p>
    <w:p>
      <w:pPr>
        <w:pStyle w:val="Subtitle"/>
      </w:pPr>
      <w:r>
        <w:t xml:space="preserve">ScaleWorks policy memo for the Impact Alliance — CARE, Mercy Corps, Save the Children</w:t>
      </w:r>
    </w:p>
    <w:p>
      <w:pPr>
        <w:pStyle w:val="Date"/>
      </w:pPr>
      <w:r>
        <w:t xml:space="preserve">August 2026</w:t>
      </w:r>
    </w:p>
    <w:bookmarkStart w:id="13" w:name="the-decision"/>
    <w:p>
      <w:pPr>
        <w:pStyle w:val="Heading1"/>
      </w:pPr>
      <w:r>
        <w:t xml:space="preserve">The decision</w:t>
      </w:r>
    </w:p>
    <w:p>
      <w:pPr>
        <w:pStyle w:val="FirstParagraph"/>
      </w:pPr>
      <w:r>
        <w:t xml:space="preserve">The Impact Alliance narrowed fifteen nutrition interventions to three:</w:t>
      </w:r>
      <w:r>
        <w:t xml:space="preserve"> </w:t>
      </w:r>
      <w:r>
        <w:rPr>
          <w:b/>
          <w:bCs/>
        </w:rPr>
        <w:t xml:space="preserve">community-based</w:t>
      </w:r>
      <w:r>
        <w:rPr>
          <w:b/>
          <w:bCs/>
        </w:rPr>
        <w:t xml:space="preserve"> </w:t>
      </w:r>
      <w:r>
        <w:rPr>
          <w:b/>
          <w:bCs/>
        </w:rPr>
        <w:t xml:space="preserve">management of acute malnutrition (CMAM)</w:t>
      </w:r>
      <w:r>
        <w:t xml:space="preserve">,</w:t>
      </w:r>
      <w:r>
        <w:t xml:space="preserve"> </w:t>
      </w:r>
      <w:r>
        <w:rPr>
          <w:b/>
          <w:bCs/>
        </w:rPr>
        <w:t xml:space="preserve">breastfeeding and newborn care</w:t>
      </w:r>
      <w:r>
        <w:t xml:space="preserve">, and</w:t>
      </w:r>
      <w:r>
        <w:t xml:space="preserve"> </w:t>
      </w:r>
      <w:r>
        <w:rPr>
          <w:b/>
          <w:bCs/>
        </w:rPr>
        <w:t xml:space="preserve">antenatal multiple micronutrient supplementation (MMS)</w:t>
      </w:r>
      <w:r>
        <w:t xml:space="preserve">. All three are established. The</w:t>
      </w:r>
      <w:r>
        <w:t xml:space="preserve"> </w:t>
      </w:r>
      <w:r>
        <w:t xml:space="preserve">question this memo answers is not which is best — they do different jobs in different</w:t>
      </w:r>
      <w:r>
        <w:t xml:space="preserve"> </w:t>
      </w:r>
      <w:r>
        <w:t xml:space="preserve">populations, and a single ranking would mislead. It is the harder question:</w:t>
      </w:r>
      <w:r>
        <w:t xml:space="preserve"> </w:t>
      </w:r>
      <w:r>
        <w:rPr>
          <w:b/>
          <w:bCs/>
        </w:rPr>
        <w:t xml:space="preserve">which change is</w:t>
      </w:r>
      <w:r>
        <w:rPr>
          <w:b/>
          <w:bCs/>
        </w:rPr>
        <w:t xml:space="preserve"> </w:t>
      </w:r>
      <w:r>
        <w:rPr>
          <w:b/>
          <w:bCs/>
        </w:rPr>
        <w:t xml:space="preserve">small enough for a ministry to make, and big enough to be worth making?</w:t>
      </w:r>
    </w:p>
    <w:p>
      <w:pPr>
        <w:pStyle w:val="BodyText"/>
      </w:pPr>
      <w:r>
        <w:t xml:space="preserve">Answered that way, the three stop looking alike. Their evidence is comparable in quality. Their</w:t>
      </w:r>
      <w:r>
        <w:t xml:space="preserve"> </w:t>
      </w:r>
      <w:r>
        <w:rPr>
          <w:b/>
          <w:bCs/>
        </w:rPr>
        <w:t xml:space="preserve">economics are not</w:t>
      </w:r>
      <w:r>
        <w:t xml:space="preserve">, and that is what determines whether a government can act.</w:t>
      </w:r>
    </w:p>
    <w:bookmarkStart w:id="12" w:name="three-shapes-of-opportunity"/>
    <w:p>
      <w:pPr>
        <w:pStyle w:val="Heading2"/>
      </w:pPr>
      <w:r>
        <w:t xml:space="preserve">Three shapes of opportunity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change</w:t>
            </w:r>
          </w:p>
        </w:tc>
        <w:tc>
          <w:tcPr/>
          <w:p>
            <w:pPr>
              <w:pStyle w:val="Compact"/>
            </w:pPr>
            <w:r>
              <w:t xml:space="preserve">What a fixed budget does</w:t>
            </w:r>
          </w:p>
        </w:tc>
        <w:tc>
          <w:tcPr/>
          <w:p>
            <w:pPr>
              <w:pStyle w:val="Compact"/>
            </w:pPr>
            <w:r>
              <w:t xml:space="preserve">The catch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CMAM → simplified protocol</w:t>
            </w:r>
          </w:p>
        </w:tc>
        <w:tc>
          <w:tcPr/>
          <w:p>
            <w:pPr>
              <w:pStyle w:val="Compact"/>
            </w:pPr>
            <w:r>
              <w:t xml:space="preserve">Change the dosing protocol; keep the 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Recovers ~13% more children for the same money</w:t>
            </w:r>
          </w:p>
        </w:tc>
        <w:tc>
          <w:tcPr/>
          <w:p>
            <w:pPr>
              <w:pStyle w:val="Compact"/>
            </w:pPr>
            <w:r>
              <w:t xml:space="preserve">Not for the most severe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IFA → MMS</w:t>
            </w:r>
          </w:p>
        </w:tc>
        <w:tc>
          <w:tcPr/>
          <w:p>
            <w:pPr>
              <w:pStyle w:val="Compact"/>
            </w:pPr>
            <w:r>
              <w:t xml:space="preserve">Swap one tablet for another in existing antenatal care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  <w:r>
              <w:t xml:space="preserve"> </w:t>
            </w:r>
            <w:r>
              <w:rPr>
                <w:b/>
                <w:bCs/>
              </w:rPr>
              <w:t xml:space="preserve">42% fewer</w:t>
            </w:r>
            <w:r>
              <w:t xml:space="preserve"> </w:t>
            </w:r>
            <w:r>
              <w:t xml:space="preserve">pregnancies — unit cost rises</w:t>
            </w:r>
          </w:p>
        </w:tc>
        <w:tc>
          <w:tcPr/>
          <w:p>
            <w:pPr>
              <w:pStyle w:val="Compact"/>
            </w:pPr>
            <w:r>
              <w:t xml:space="preserve">WHO has not endorsed routine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Kangaroo care → start immediately</w:t>
            </w:r>
          </w:p>
        </w:tc>
        <w:tc>
          <w:tcPr/>
          <w:p>
            <w:pPr>
              <w:pStyle w:val="Compact"/>
            </w:pPr>
            <w:r>
              <w:t xml:space="preserve">Change the ward protocol; no commodity at all</w:t>
            </w:r>
          </w:p>
        </w:tc>
        <w:tc>
          <w:tcPr/>
          <w:p>
            <w:pPr>
              <w:pStyle w:val="Compact"/>
            </w:pPr>
            <w:r>
              <w:t xml:space="preserve">Budget barely moves;</w:t>
            </w:r>
            <w:r>
              <w:t xml:space="preserve"> </w:t>
            </w:r>
            <w:r>
              <w:rPr>
                <w:b/>
                <w:bCs/>
              </w:rPr>
              <w:t xml:space="preserve">cost-saving in operation</w:t>
            </w:r>
          </w:p>
        </w:tc>
        <w:tc>
          <w:tcPr/>
          <w:p>
            <w:pPr>
              <w:pStyle w:val="Compact"/>
            </w:pPr>
            <w:r>
              <w:t xml:space="preserve">Needs facility delivery and staffing</w:t>
            </w:r>
          </w:p>
        </w:tc>
      </w:tr>
    </w:tbl>
    <w:p>
      <w:pPr>
        <w:pStyle w:val="CaptionedFigure"/>
      </w:pPr>
      <w:r>
        <w:drawing>
          <wp:inline>
            <wp:extent cx="5334000" cy="1891145"/>
            <wp:effectExtent b="0" l="0" r="0" t="0"/>
            <wp:docPr descr="Figure 1. What a fixed budget buys. The two panels use different units and are not comparable to one another." title="" id="10" name="Picture"/>
            <a:graphic>
              <a:graphicData uri="http://schemas.openxmlformats.org/drawingml/2006/picture">
                <pic:pic>
                  <pic:nvPicPr>
                    <pic:cNvPr descr="figures/fig_fixed_budge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What a fixed budget buys. The two panels use different units and are not comparable to one another.</w:t>
      </w:r>
    </w:p>
    <w:p>
      <w:pPr>
        <w:pStyle w:val="BodyText"/>
      </w:pPr>
      <w:r>
        <w:t xml:space="preserve">Only the first is an efficiency gain. The second buys a better outcome at a higher unit price.</w:t>
      </w:r>
      <w:r>
        <w:t xml:space="preserve"> </w:t>
      </w:r>
      <w:r>
        <w:t xml:space="preserve">The third is almost free but bounded by where births happen.</w:t>
      </w:r>
      <w:r>
        <w:t xml:space="preserve"> </w:t>
      </w:r>
      <w:r>
        <w:rPr>
          <w:b/>
          <w:bCs/>
        </w:rPr>
        <w:t xml:space="preserve">These call for three 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conversations with a finance ministry, not one.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8d7339f89168eddef87020f0aab7b7fea8af8e1"/>
    <w:p>
      <w:pPr>
        <w:pStyle w:val="Heading1"/>
      </w:pPr>
      <w:r>
        <w:t xml:space="preserve">1. Wasting treatment: do more with the same money</w:t>
      </w:r>
    </w:p>
    <w:p>
      <w:pPr>
        <w:pStyle w:val="FirstParagraph"/>
      </w:pPr>
      <w:r>
        <w:rPr>
          <w:b/>
          <w:bCs/>
        </w:rPr>
        <w:t xml:space="preserve">The problem.</w:t>
      </w:r>
      <w:r>
        <w:t xml:space="preserve"> </w:t>
      </w:r>
      <w:r>
        <w:t xml:space="preserve">Roughly</w:t>
      </w:r>
      <w:r>
        <w:t xml:space="preserve"> </w:t>
      </w:r>
      <w:r>
        <w:rPr>
          <w:b/>
          <w:bCs/>
        </w:rPr>
        <w:t xml:space="preserve">one severely wasted child in three</w:t>
      </w:r>
      <w:r>
        <w:t xml:space="preserve"> </w:t>
      </w:r>
      <w:r>
        <w:t xml:space="preserve">receives treatment, leaving</w:t>
      </w:r>
      <w:r>
        <w:t xml:space="preserve"> </w:t>
      </w:r>
      <w:r>
        <w:t xml:space="preserve">about</w:t>
      </w:r>
      <w:r>
        <w:t xml:space="preserve"> </w:t>
      </w:r>
      <w:r>
        <w:rPr>
          <w:b/>
          <w:bCs/>
        </w:rPr>
        <w:t xml:space="preserve">8 million children a year</w:t>
      </w:r>
      <w:r>
        <w:t xml:space="preserve"> </w:t>
      </w:r>
      <w:r>
        <w:t xml:space="preserve">untreated. Of those who are treated, between</w:t>
      </w:r>
      <w:r>
        <w:t xml:space="preserve"> </w:t>
      </w:r>
      <w:r>
        <w:rPr>
          <w:b/>
          <w:bCs/>
        </w:rPr>
        <w:t xml:space="preserve">22% and</w:t>
      </w:r>
      <w:r>
        <w:rPr>
          <w:b/>
          <w:bCs/>
        </w:rPr>
        <w:t xml:space="preserve"> </w:t>
      </w:r>
      <w:r>
        <w:rPr>
          <w:b/>
          <w:bCs/>
        </w:rPr>
        <w:t xml:space="preserve">63% relapse within six months</w:t>
      </w:r>
      <w:r>
        <w:t xml:space="preserve">, depending on setting. Severely wasted children die at roughly</w:t>
      </w:r>
      <w:r>
        <w:t xml:space="preserve"> </w:t>
      </w:r>
      <w:r>
        <w:rPr>
          <w:b/>
          <w:bCs/>
        </w:rPr>
        <w:t xml:space="preserve">11.6 times</w:t>
      </w:r>
      <w:r>
        <w:t xml:space="preserve"> </w:t>
      </w:r>
      <w:r>
        <w:t xml:space="preserve">the rate of children with normal weight-for-height.</w:t>
      </w:r>
    </w:p>
    <w:p>
      <w:pPr>
        <w:pStyle w:val="BodyText"/>
      </w:pPr>
      <w:r>
        <w:rPr>
          <w:b/>
          <w:bCs/>
        </w:rPr>
        <w:t xml:space="preserve">What works.</w:t>
      </w:r>
      <w:r>
        <w:t xml:space="preserve"> </w:t>
      </w:r>
      <w:r>
        <w:t xml:space="preserve">Outpatient treatment with ready-to-use therapeutic food (RUTF) works, and we</w:t>
      </w:r>
      <w:r>
        <w:t xml:space="preserve"> </w:t>
      </w:r>
      <w:r>
        <w:t xml:space="preserve">know how to deliver it. The newer finding is that</w:t>
      </w:r>
      <w:r>
        <w:t xml:space="preserve"> </w:t>
      </w:r>
      <w:r>
        <w:rPr>
          <w:b/>
          <w:bCs/>
        </w:rPr>
        <w:t xml:space="preserve">simplified protocols hold recovery while</w:t>
      </w:r>
      <w:r>
        <w:rPr>
          <w:b/>
          <w:bCs/>
        </w:rPr>
        <w:t xml:space="preserve"> </w:t>
      </w:r>
      <w:r>
        <w:rPr>
          <w:b/>
          <w:bCs/>
        </w:rPr>
        <w:t xml:space="preserve">using far less therapeutic food</w:t>
      </w:r>
      <w:r>
        <w:t xml:space="preserve">. In a 2025 three-arm trial in Niger, the combined SAM/MAM</w:t>
      </w:r>
      <w:r>
        <w:t xml:space="preserve"> </w:t>
      </w:r>
      <w:r>
        <w:t xml:space="preserve">protocol (ComPAS, 50% less food) met non-inferiority on both intention-to-treat and</w:t>
      </w:r>
      <w:r>
        <w:t xml:space="preserve"> </w:t>
      </w:r>
      <w:r>
        <w:t xml:space="preserve">per-protocol analysis; a tapered-dose protocol (OptiMA, 32% less) met it on</w:t>
      </w:r>
      <w:r>
        <w:t xml:space="preserve"> </w:t>
      </w:r>
      <w:r>
        <w:t xml:space="preserve">intention-to-treat only.</w:t>
      </w:r>
    </w:p>
    <w:p>
      <w:pPr>
        <w:pStyle w:val="BodyText"/>
      </w:pPr>
      <w:r>
        <w:t xml:space="preserve">Therapeutic food is the largest single line item — 43% of institutional cost where it was</w:t>
      </w:r>
      <w:r>
        <w:t xml:space="preserve"> </w:t>
      </w:r>
      <w:r>
        <w:t xml:space="preserve">measured. The ComPAS trial costed the result directly, in Kenya and South Sudan: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Cost per child recovered</w:t>
            </w:r>
          </w:p>
        </w:tc>
        <w:tc>
          <w:tcPr/>
          <w:p>
            <w:pPr>
              <w:pStyle w:val="Compact"/>
            </w:pPr>
            <w:r>
              <w:t xml:space="preserve">Children recovered per $1M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protocol</w:t>
            </w:r>
          </w:p>
        </w:tc>
        <w:tc>
          <w:tcPr/>
          <w:p>
            <w:pPr>
              <w:pStyle w:val="Compact"/>
            </w:pPr>
            <w:r>
              <w:t xml:space="preserve">$1,041</w:t>
            </w:r>
          </w:p>
        </w:tc>
        <w:tc>
          <w:tcPr/>
          <w:p>
            <w:pPr>
              <w:pStyle w:val="Compact"/>
            </w:pPr>
            <w:r>
              <w:t xml:space="preserve">961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protocol (ComPAS)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1,089 — +13%</w:t>
            </w:r>
          </w:p>
        </w:tc>
      </w:tr>
    </w:tbl>
    <w:p>
      <w:pPr>
        <w:pStyle w:val="BodyText"/>
      </w:pPr>
      <w:r>
        <w:t xml:space="preserve">The combined protocol used 122 sachets per child recovered against 193, and recovered 76.3% of</w:t>
      </w:r>
      <w:r>
        <w:t xml:space="preserve"> </w:t>
      </w:r>
      <w:r>
        <w:t xml:space="preserve">children against 73.5%.</w:t>
      </w:r>
      <w:r>
        <w:t xml:space="preserve"> </w:t>
      </w:r>
      <w:r>
        <w:rPr>
          <w:i/>
          <w:iCs/>
        </w:rPr>
        <w:t xml:space="preserve">These are trial-measured costs, not modelled. A simple model of the</w:t>
      </w:r>
      <w:r>
        <w:rPr>
          <w:i/>
          <w:iCs/>
        </w:rPr>
        <w:t xml:space="preserve"> </w:t>
      </w:r>
      <w:r>
        <w:rPr>
          <w:i/>
          <w:iCs/>
        </w:rPr>
        <w:t xml:space="preserve">commodity saving alone gives a larger figure — around 28% — which the trial data do not support,</w:t>
      </w:r>
      <w:r>
        <w:rPr>
          <w:i/>
          <w:iCs/>
        </w:rPr>
        <w:t xml:space="preserve"> </w:t>
      </w:r>
      <w:r>
        <w:rPr>
          <w:i/>
          <w:iCs/>
        </w:rPr>
        <w:t xml:space="preserve">because non-commodity costs do not fall proportionally.</w:t>
      </w:r>
    </w:p>
    <w:p>
      <w:pPr>
        <w:pStyle w:val="BodyText"/>
      </w:pPr>
      <w:r>
        <w:rPr>
          <w:b/>
          <w:bCs/>
        </w:rPr>
        <w:t xml:space="preserve">What does not work.</w:t>
      </w:r>
      <w:r>
        <w:t xml:space="preserve"> </w:t>
      </w:r>
      <w:r>
        <w:rPr>
          <w:b/>
          <w:bCs/>
        </w:rPr>
        <w:t xml:space="preserve">Screening without a treatment pathway.</w:t>
      </w:r>
      <w:r>
        <w:t xml:space="preserve"> </w:t>
      </w:r>
      <w:r>
        <w:t xml:space="preserve">In Mali, a trial raised</w:t>
      </w:r>
      <w:r>
        <w:t xml:space="preserve"> </w:t>
      </w:r>
      <w:r>
        <w:t xml:space="preserve">screening coverage by 40 percentage points and changed treatment coverage not at all — 7.6% of</w:t>
      </w:r>
      <w:r>
        <w:t xml:space="preserve"> </w:t>
      </w:r>
      <w:r>
        <w:t xml:space="preserve">acutely malnourished children received appropriate treatment, in both arms alike, because</w:t>
      </w:r>
      <w:r>
        <w:t xml:space="preserve"> </w:t>
      </w:r>
      <w:r>
        <w:t xml:space="preserve">volunteers gave identified children preventive supplements instead of referring them. In</w:t>
      </w:r>
      <w:r>
        <w:t xml:space="preserve"> </w:t>
      </w:r>
      <w:r>
        <w:t xml:space="preserve">Burundi, community mass screening enrolled 8% of the cases it found, against 98% for</w:t>
      </w:r>
      <w:r>
        <w:t xml:space="preserve"> </w:t>
      </w:r>
      <w:r>
        <w:t xml:space="preserve">clinic-based screening, because a child found in a village still has to reach a facility.</w:t>
      </w:r>
    </w:p>
    <w:p>
      <w:pPr>
        <w:pStyle w:val="BodyText"/>
      </w:pPr>
      <w:r>
        <w:rPr>
          <w:b/>
          <w:bCs/>
        </w:rPr>
        <w:t xml:space="preserve">Decentralisation is also not automatically cheaper.</w:t>
      </w:r>
      <w:r>
        <w:t xml:space="preserve"> </w:t>
      </w:r>
      <w:r>
        <w:t xml:space="preserve">In Pakistan, adding community health</w:t>
      </w:r>
      <w:r>
        <w:t xml:space="preserve"> </w:t>
      </w:r>
      <w:r>
        <w:t xml:space="preserve">worker delivery alongside facility care cost slightly less per child</w:t>
      </w:r>
      <w:r>
        <w:t xml:space="preserve"> </w:t>
      </w:r>
      <w:r>
        <w:rPr>
          <w:i/>
          <w:iCs/>
        </w:rPr>
        <w:t xml:space="preserve">treated</w:t>
      </w:r>
      <w:r>
        <w:t xml:space="preserve"> </w:t>
      </w:r>
      <w:r>
        <w:t xml:space="preserve">but more per</w:t>
      </w:r>
      <w:r>
        <w:t xml:space="preserve"> </w:t>
      </w:r>
      <w:r>
        <w:t xml:space="preserve">child</w:t>
      </w:r>
      <w:r>
        <w:t xml:space="preserve"> </w:t>
      </w:r>
      <w:r>
        <w:rPr>
          <w:i/>
          <w:iCs/>
        </w:rPr>
        <w:t xml:space="preserve">recovered</w:t>
      </w:r>
      <w:r>
        <w:t xml:space="preserve">, because recovery was lower — 76% against 83%.</w:t>
      </w:r>
    </w:p>
    <w:p>
      <w:pPr>
        <w:pStyle w:val="BodyText"/>
      </w:pPr>
      <w:r>
        <w:rPr>
          <w:b/>
          <w:bCs/>
        </w:rPr>
        <w:t xml:space="preserve">Pairing treatment with cash reduces relapse substantially.</w:t>
      </w:r>
      <w:r>
        <w:t xml:space="preserve"> </w:t>
      </w:r>
      <w:r>
        <w:t xml:space="preserve">A cluster-randomised trial in</w:t>
      </w:r>
      <w:r>
        <w:t xml:space="preserve"> </w:t>
      </w:r>
      <w:r>
        <w:t xml:space="preserve">DRC cut relapse by 70–80% (adjusted hazard ratios 0.21 to moderate and 0.30 to severe acute</w:t>
      </w:r>
      <w:r>
        <w:t xml:space="preserve"> </w:t>
      </w:r>
      <w:r>
        <w:t xml:space="preserve">malnutrition) and raised recovery by 35%. But the transfer was large — $240 per child, roughly</w:t>
      </w:r>
      <w:r>
        <w:t xml:space="preserve"> </w:t>
      </w:r>
      <w:r>
        <w:t xml:space="preserve">the cost of treatment again — and</w:t>
      </w:r>
      <w:r>
        <w:t xml:space="preserve"> </w:t>
      </w:r>
      <w:r>
        <w:rPr>
          <w:b/>
          <w:bCs/>
        </w:rPr>
        <w:t xml:space="preserve">no one has yet costed it properly</w:t>
      </w:r>
      <w:r>
        <w:t xml:space="preserve">. Treat it as a</w:t>
      </w:r>
      <w:r>
        <w:t xml:space="preserve"> </w:t>
      </w:r>
      <w:r>
        <w:t xml:space="preserve">promising cost, not a saving. Transfer size appears to be the active ingredient: standard cash</w:t>
      </w:r>
      <w:r>
        <w:t xml:space="preserve"> </w:t>
      </w:r>
      <w:r>
        <w:t xml:space="preserve">transfers show no effect on wasting; double transfers do.</w:t>
      </w:r>
    </w:p>
    <w:bookmarkStart w:id="14" w:name="from-to"/>
    <w:p>
      <w:pPr>
        <w:pStyle w:val="Heading2"/>
      </w:pPr>
      <w:r>
        <w:t xml:space="preserve">From → 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practice</w:t>
            </w:r>
          </w:p>
        </w:tc>
        <w:tc>
          <w:tcPr/>
          <w:p>
            <w:pPr>
              <w:pStyle w:val="Compact"/>
            </w:pPr>
            <w:r>
              <w:t xml:space="preserve">Evidence-backed 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Weight-based dosing for all cases</w:t>
            </w:r>
          </w:p>
        </w:tc>
        <w:tc>
          <w:tcPr/>
          <w:p>
            <w:pPr>
              <w:pStyle w:val="Compact"/>
            </w:pPr>
            <w:r>
              <w:t xml:space="preserve">Simplified dosing for the uncomplicated caseload; standard protocol retained for MUAC &lt;115 mm or oedema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 SAM and MAM programmes</w:t>
            </w:r>
          </w:p>
        </w:tc>
        <w:tc>
          <w:tcPr/>
          <w:p>
            <w:pPr>
              <w:pStyle w:val="Compact"/>
            </w:pPr>
            <w:r>
              <w:t xml:space="preserve">One combined protocol, one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Screening campaigns as a coverage metric</w:t>
            </w:r>
          </w:p>
        </w:tc>
        <w:tc>
          <w:tcPr/>
          <w:p>
            <w:pPr>
              <w:pStyle w:val="Compact"/>
            </w:pPr>
            <w:r>
              <w:t xml:space="preserve">Screening and treatment coverage measured and reported as two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Discharge and close the case</w:t>
            </w:r>
          </w:p>
        </w:tc>
        <w:tc>
          <w:tcPr/>
          <w:p>
            <w:pPr>
              <w:pStyle w:val="Compact"/>
            </w:pPr>
            <w:r>
              <w:t xml:space="preserve">Post-discharge follow-up, with cash transfers where affordable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this asks of CARE.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retooling, not acquisition</w:t>
      </w:r>
      <w:r>
        <w:t xml:space="preserve"> </w:t>
      </w:r>
      <w:r>
        <w:t xml:space="preserve">— retraining frontline staff</w:t>
      </w:r>
      <w:r>
        <w:t xml:space="preserve"> </w:t>
      </w:r>
      <w:r>
        <w:t xml:space="preserve">on a simpler protocol and reconfiguring supply chains to reach community health workers rather</w:t>
      </w:r>
      <w:r>
        <w:t xml:space="preserve"> </w:t>
      </w:r>
      <w:r>
        <w:t xml:space="preserve">than stopping at the facility. The commodity saving is real and can be reinvested in coverage.</w:t>
      </w:r>
    </w:p>
    <w:p>
      <w:pPr>
        <w:pStyle w:val="BodyText"/>
      </w:pPr>
      <w:r>
        <w:rPr>
          <w:b/>
          <w:bCs/>
        </w:rPr>
        <w:t xml:space="preserve">What it asks of policy makers.</w:t>
      </w:r>
      <w:r>
        <w:t xml:space="preserve"> </w:t>
      </w:r>
      <w:r>
        <w:t xml:space="preserve">Adopting a simplified protocol means operating</w:t>
      </w:r>
      <w:r>
        <w:t xml:space="preserve"> </w:t>
      </w:r>
      <w:r>
        <w:rPr>
          <w:b/>
          <w:bCs/>
        </w:rPr>
        <w:t xml:space="preserve">ahead of</w:t>
      </w:r>
      <w:r>
        <w:rPr>
          <w:b/>
          <w:bCs/>
        </w:rPr>
        <w:t xml:space="preserve"> </w:t>
      </w:r>
      <w:r>
        <w:rPr>
          <w:b/>
          <w:bCs/>
        </w:rPr>
        <w:t xml:space="preserve">WHO guidance</w:t>
      </w:r>
      <w:r>
        <w:t xml:space="preserve">, which retains weight-indexed dosing and dual discharge criteria. That is</w:t>
      </w:r>
      <w:r>
        <w:t xml:space="preserve"> </w:t>
      </w:r>
      <w:r>
        <w:t xml:space="preserve">defensible and fundable, but far better raised early than discovered late.</w:t>
      </w:r>
    </w:p>
    <w:bookmarkEnd w:id="14"/>
    <w:bookmarkStart w:id="15" w:name="where"/>
    <w:p>
      <w:pPr>
        <w:pStyle w:val="Heading2"/>
      </w:pPr>
      <w:r>
        <w:t xml:space="preserve">Where</w:t>
      </w:r>
    </w:p>
    <w:p>
      <w:pPr>
        <w:pStyle w:val="FirstParagraph"/>
      </w:pPr>
      <w:r>
        <w:rPr>
          <w:b/>
          <w:bCs/>
        </w:rPr>
        <w:t xml:space="preserve">India</w:t>
      </w:r>
      <w:r>
        <w:t xml:space="preserve"> </w:t>
      </w:r>
      <w:r>
        <w:t xml:space="preserve">is the single largest concentration of child wasting in the world (18.7%), in a stable</w:t>
      </w:r>
      <w:r>
        <w:t xml:space="preserve"> </w:t>
      </w:r>
      <w:r>
        <w:t xml:space="preserve">country with a functioning routine system — the question there is integration at scale.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Sahel, the Horn of Africa and Yemen</w:t>
      </w:r>
      <w:r>
        <w:t xml:space="preserve"> </w:t>
      </w:r>
      <w:r>
        <w:t xml:space="preserve">carry the other concentration, with Nigeria (11.6%) and</w:t>
      </w:r>
      <w:r>
        <w:t xml:space="preserve"> </w:t>
      </w:r>
      <w:r>
        <w:t xml:space="preserve">Niger (10.9%) at roughly double the sub-Saharan African average. These are two different</w:t>
      </w:r>
      <w:r>
        <w:t xml:space="preserve"> </w:t>
      </w:r>
      <w:r>
        <w:t xml:space="preserve">programmes, not one. Simplified protocols matter most where caseloads surge.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ecc4df3befd94f77dc17096da323511e8cb3e0b"/>
    <w:p>
      <w:pPr>
        <w:pStyle w:val="Heading1"/>
      </w:pPr>
      <w:r>
        <w:t xml:space="preserve">2. Antenatal MMS: pay slightly more for a better birth</w:t>
      </w:r>
    </w:p>
    <w:p>
      <w:pPr>
        <w:pStyle w:val="FirstParagraph"/>
      </w:pPr>
      <w:r>
        <w:rPr>
          <w:b/>
          <w:bCs/>
        </w:rPr>
        <w:t xml:space="preserve">The problem.</w:t>
      </w:r>
      <w:r>
        <w:t xml:space="preserve"> </w:t>
      </w:r>
      <w:r>
        <w:t xml:space="preserve">Standard antenatal care in most low- and middle-income countries provides iron</w:t>
      </w:r>
      <w:r>
        <w:t xml:space="preserve"> </w:t>
      </w:r>
      <w:r>
        <w:t xml:space="preserve">and folic acid alone.</w:t>
      </w:r>
      <w:r>
        <w:t xml:space="preserve"> </w:t>
      </w:r>
      <w:r>
        <w:rPr>
          <w:b/>
          <w:bCs/>
        </w:rPr>
        <w:t xml:space="preserve">19.8 million babies a year are born with low birthweight</w:t>
      </w:r>
      <w:r>
        <w:t xml:space="preserve"> </w:t>
      </w:r>
      <w:r>
        <w:t xml:space="preserve">— one in</w:t>
      </w:r>
      <w:r>
        <w:t xml:space="preserve"> </w:t>
      </w:r>
      <w:r>
        <w:t xml:space="preserve">seven worldwide, one in four in South Asia — and</w:t>
      </w:r>
      <w:r>
        <w:t xml:space="preserve"> </w:t>
      </w:r>
      <w:r>
        <w:rPr>
          <w:b/>
          <w:bCs/>
        </w:rPr>
        <w:t xml:space="preserve">more than half of all newborn deaths are</w:t>
      </w:r>
      <w:r>
        <w:rPr>
          <w:b/>
          <w:bCs/>
        </w:rPr>
        <w:t xml:space="preserve"> </w:t>
      </w:r>
      <w:r>
        <w:rPr>
          <w:b/>
          <w:bCs/>
        </w:rPr>
        <w:t xml:space="preserve">attributable to babies born too small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works.</w:t>
      </w:r>
      <w:r>
        <w:t xml:space="preserve"> </w:t>
      </w:r>
      <w:r>
        <w:t xml:space="preserve">MMS outperforms iron-folic acid on</w:t>
      </w:r>
      <w:r>
        <w:t xml:space="preserve"> </w:t>
      </w:r>
      <w:r>
        <w:rPr>
          <w:b/>
          <w:bCs/>
        </w:rPr>
        <w:t xml:space="preserve">low birthweight (RR 0.88, high certainty)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small-for-gestational-age (RR 0.92, moderate certainty)</w:t>
      </w:r>
      <w:r>
        <w:t xml:space="preserve">. Benefit is largest in anaemic</w:t>
      </w:r>
      <w:r>
        <w:t xml:space="preserve"> </w:t>
      </w:r>
      <w:r>
        <w:t xml:space="preserve">and underweight women. The commodity change is nearly free: producing an MMS tablet costs about</w:t>
      </w:r>
      <w:r>
        <w:t xml:space="preserve"> </w:t>
      </w:r>
      <w:r>
        <w:t xml:space="preserve">half a US cent more.</w:t>
      </w:r>
    </w:p>
    <w:p>
      <w:pPr>
        <w:pStyle w:val="BodyText"/>
      </w:pPr>
      <w:r>
        <w:rPr>
          <w:b/>
          <w:bCs/>
        </w:rPr>
        <w:t xml:space="preserve">What does not work — and must not be claimed.</w:t>
      </w:r>
      <w:r>
        <w:t xml:space="preserve"> </w:t>
      </w:r>
      <w:r>
        <w:rPr>
          <w:b/>
          <w:bCs/>
        </w:rPr>
        <w:t xml:space="preserve">MMS does not reduce mortality.</w:t>
      </w:r>
      <w:r>
        <w:t xml:space="preserve"> </w:t>
      </w:r>
      <w:r>
        <w:t xml:space="preserve">Perinatal</w:t>
      </w:r>
      <w:r>
        <w:t xml:space="preserve"> </w:t>
      </w:r>
      <w:r>
        <w:t xml:space="preserve">and neonatal mortality are both null at high certainty; maternal mortality is null and</w:t>
      </w:r>
      <w:r>
        <w:t xml:space="preserve"> </w:t>
      </w:r>
      <w:r>
        <w:t xml:space="preserve">imprecise. Presenting MMS as a mortality intervention is the single most common error made with</w:t>
      </w:r>
      <w:r>
        <w:t xml:space="preserve"> </w:t>
      </w:r>
      <w:r>
        <w:t xml:space="preserve">this evidence, and a ministry’s technical advisers will catch it.</w:t>
      </w:r>
    </w:p>
    <w:p>
      <w:pPr>
        <w:pStyle w:val="BodyText"/>
      </w:pPr>
      <w:r>
        <w:rPr>
          <w:b/>
          <w:bCs/>
        </w:rPr>
        <w:t xml:space="preserve">The economics are the opposite shape to CMAM.</w:t>
      </w:r>
      <w:r>
        <w:t xml:space="preserve"> </w:t>
      </w:r>
      <w:r>
        <w:t xml:space="preserve">Procurement runs about $2.00 per pregnancy for</w:t>
      </w:r>
      <w:r>
        <w:t xml:space="preserve"> </w:t>
      </w:r>
      <w:r>
        <w:t xml:space="preserve">iron-folic acid against $3.42 for MMS, so</w:t>
      </w:r>
      <w:r>
        <w:t xml:space="preserve"> </w:t>
      </w:r>
      <w:r>
        <w:rPr>
          <w:b/>
          <w:bCs/>
        </w:rPr>
        <w:t xml:space="preserve">at a fixed budget MMS covers 42% fewer pregnancies</w:t>
      </w:r>
      <w:r>
        <w:t xml:space="preserve">.</w:t>
      </w:r>
      <w:r>
        <w:t xml:space="preserve"> </w:t>
      </w:r>
      <w:r>
        <w:t xml:space="preserve">The right frame is not more-for-the-same but cost per case averted: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Low-birthweight births averted per 100,000 pregnancies</w:t>
            </w:r>
          </w:p>
        </w:tc>
        <w:tc>
          <w:tcPr/>
          <w:p>
            <w:pPr>
              <w:pStyle w:val="Compact"/>
            </w:pPr>
            <w:r>
              <w:t xml:space="preserve">Cost per case averted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 Asia (LBW 24.8%)</w:t>
            </w:r>
          </w:p>
        </w:tc>
        <w:tc>
          <w:tcPr/>
          <w:p>
            <w:pPr>
              <w:pStyle w:val="Compact"/>
            </w:pPr>
            <w:r>
              <w:t xml:space="preserve">~3,000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Sub-Saharan Africa (LBW 13.9%)</w:t>
            </w:r>
          </w:p>
        </w:tc>
        <w:tc>
          <w:tcPr/>
          <w:p>
            <w:pPr>
              <w:pStyle w:val="Compact"/>
            </w:pPr>
            <w:r>
              <w:t xml:space="preserve">~1,700</w:t>
            </w:r>
          </w:p>
        </w:tc>
        <w:tc>
          <w:tcPr/>
          <w:p>
            <w:pPr>
              <w:pStyle w:val="Compact"/>
            </w:pPr>
            <w:r>
              <w:t xml:space="preserve">~$85</w:t>
            </w:r>
          </w:p>
        </w:tc>
      </w:tr>
    </w:tbl>
    <w:p>
      <w:pPr>
        <w:pStyle w:val="BodyText"/>
      </w:pPr>
      <w:r>
        <w:rPr>
          <w:i/>
          <w:iCs/>
        </w:rPr>
        <w:t xml:space="preserve">Our arithmetic from published unit costs and the pooled effect estimate.</w:t>
      </w:r>
      <w:r>
        <w:t xml:space="preserve"> </w:t>
      </w:r>
      <w:r>
        <w:t xml:space="preserve">The real cost sits in</w:t>
      </w:r>
      <w:r>
        <w:t xml:space="preserve"> </w:t>
      </w:r>
      <w:r>
        <w:t xml:space="preserve">the system change — antenatal attendance, counselling, supply chain — not in the tablet.</w:t>
      </w:r>
    </w:p>
    <w:bookmarkStart w:id="17" w:name="from-to-1"/>
    <w:p>
      <w:pPr>
        <w:pStyle w:val="Heading2"/>
      </w:pPr>
      <w:r>
        <w:t xml:space="preserve">From → 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practice</w:t>
            </w:r>
          </w:p>
        </w:tc>
        <w:tc>
          <w:tcPr/>
          <w:p>
            <w:pPr>
              <w:pStyle w:val="Compact"/>
            </w:pPr>
            <w:r>
              <w:t xml:space="preserve">Evidence-backed 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Iron-folic acid as default</w:t>
            </w:r>
          </w:p>
        </w:tc>
        <w:tc>
          <w:tcPr/>
          <w:p>
            <w:pPr>
              <w:pStyle w:val="Compact"/>
            </w:pPr>
            <w:r>
              <w:t xml:space="preserve">MMS substituted in routine antenatal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Commodity procured project by project</w:t>
            </w:r>
          </w:p>
        </w:tc>
        <w:tc>
          <w:tcPr/>
          <w:p>
            <w:pPr>
              <w:pStyle w:val="Compact"/>
            </w:pPr>
            <w:r>
              <w:t xml:space="preserve">MMS on the national essential medicines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counted at first ANC visit</w:t>
            </w:r>
          </w:p>
        </w:tc>
        <w:tc>
          <w:tcPr/>
          <w:p>
            <w:pPr>
              <w:pStyle w:val="Compact"/>
            </w:pPr>
            <w:r>
              <w:t xml:space="preserve">Adherence measured across the pregnancy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this asks of CARE.</w:t>
      </w:r>
      <w:r>
        <w:t xml:space="preserve"> </w:t>
      </w:r>
      <w:r>
        <w:t xml:space="preserve">Less than the others: the commodity substitutes into a channel that</w:t>
      </w:r>
      <w:r>
        <w:t xml:space="preserve"> </w:t>
      </w:r>
      <w:r>
        <w:t xml:space="preserve">already exists. The work is</w:t>
      </w:r>
      <w:r>
        <w:t xml:space="preserve"> </w:t>
      </w:r>
      <w:r>
        <w:rPr>
          <w:b/>
          <w:bCs/>
        </w:rPr>
        <w:t xml:space="preserve">advocacy and supply chain</w:t>
      </w:r>
      <w:r>
        <w:t xml:space="preserve"> </w:t>
      </w:r>
      <w:r>
        <w:t xml:space="preserve">— implementation research across four</w:t>
      </w:r>
      <w:r>
        <w:t xml:space="preserve"> </w:t>
      </w:r>
      <w:r>
        <w:t xml:space="preserve">countries found supply management</w:t>
      </w:r>
      <w:r>
        <w:t xml:space="preserve"> </w:t>
      </w:r>
      <w:r>
        <w:t xml:space="preserve">“one of the most challenging aspects”</w:t>
      </w:r>
      <w:r>
        <w:t xml:space="preserve"> </w:t>
      </w:r>
      <w:r>
        <w:t xml:space="preserve">in every one, with late</w:t>
      </w:r>
      <w:r>
        <w:t xml:space="preserve"> </w:t>
      </w:r>
      <w:r>
        <w:t xml:space="preserve">antenatal attendance and distance to facilities as barriers in all four. Women prefer MMS to</w:t>
      </w:r>
      <w:r>
        <w:t xml:space="preserve"> </w:t>
      </w:r>
      <w:r>
        <w:t xml:space="preserve">iron-folic acid and report fewer side effects, which is the strongest adherence asset in this</w:t>
      </w:r>
      <w:r>
        <w:t xml:space="preserve"> </w:t>
      </w:r>
      <w:r>
        <w:t xml:space="preserve">memo.</w:t>
      </w:r>
    </w:p>
    <w:p>
      <w:pPr>
        <w:pStyle w:val="BodyText"/>
      </w:pPr>
      <w:r>
        <w:rPr>
          <w:b/>
          <w:bCs/>
        </w:rPr>
        <w:t xml:space="preserve">What it asks of policy makers.</w:t>
      </w:r>
      <w:r>
        <w:t xml:space="preserve"> </w:t>
      </w:r>
      <w:r>
        <w:t xml:space="preserve">WHO recommends MMS</w:t>
      </w:r>
      <w:r>
        <w:t xml:space="preserve"> </w:t>
      </w:r>
      <w:r>
        <w:rPr>
          <w:b/>
          <w:bCs/>
        </w:rPr>
        <w:t xml:space="preserve">“in the context of rigorous research”</w:t>
      </w:r>
      <w:r>
        <w:t xml:space="preserve">;</w:t>
      </w:r>
      <w:r>
        <w:t xml:space="preserve"> </w:t>
      </w:r>
      <w:r>
        <w:t xml:space="preserve">daily iron-folic acid remains the recommended standard of care. Any scale-up conversation starts</w:t>
      </w:r>
      <w:r>
        <w:t xml:space="preserve"> </w:t>
      </w:r>
      <w:r>
        <w:t xml:space="preserve">from the fact that WHO has not endorsed routine substitution. UNICEF is nonetheless accelerating</w:t>
      </w:r>
      <w:r>
        <w:t xml:space="preserve"> </w:t>
      </w:r>
      <w:r>
        <w:t xml:space="preserve">MMS introduction in seven African priority countries.</w:t>
      </w:r>
    </w:p>
    <w:bookmarkEnd w:id="17"/>
    <w:bookmarkStart w:id="18" w:name="where-1"/>
    <w:p>
      <w:pPr>
        <w:pStyle w:val="Heading2"/>
      </w:pPr>
      <w:r>
        <w:t xml:space="preserve">Where</w:t>
      </w:r>
    </w:p>
    <w:p>
      <w:pPr>
        <w:pStyle w:val="FirstParagraph"/>
      </w:pPr>
      <w:r>
        <w:rPr>
          <w:b/>
          <w:bCs/>
        </w:rPr>
        <w:t xml:space="preserve">South Asia is the cleanest match in this review</w:t>
      </w:r>
      <w:r>
        <w:t xml:space="preserve"> </w:t>
      </w:r>
      <w:r>
        <w:t xml:space="preserve">— the only case where absolute benefit</w:t>
      </w:r>
      <w:r>
        <w:t xml:space="preserve"> </w:t>
      </w:r>
      <w:r>
        <w:t xml:space="preserve">(baseline low birthweight) and relative benefit (largest in anaemic and undernourished women)</w:t>
      </w:r>
      <w:r>
        <w:t xml:space="preserve"> </w:t>
      </w:r>
      <w:r>
        <w:t xml:space="preserve">point to the same geography, on the cheapest intervention of the three.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91d0bacf0b06ad8ad816a153aff652339699e61"/>
    <w:p>
      <w:pPr>
        <w:pStyle w:val="Heading1"/>
      </w:pPr>
      <w:r>
        <w:t xml:space="preserve">3. Breastfeeding and newborn care: change the protocol, not the budget</w:t>
      </w:r>
    </w:p>
    <w:p>
      <w:pPr>
        <w:pStyle w:val="FirstParagraph"/>
      </w:pPr>
      <w:r>
        <w:rPr>
          <w:b/>
          <w:bCs/>
        </w:rPr>
        <w:t xml:space="preserve">The problem.</w:t>
      </w:r>
      <w:r>
        <w:t xml:space="preserve"> </w:t>
      </w:r>
      <w:r>
        <w:t xml:space="preserve">Breastfeeding practice is far below target almost everywhere, and small and sick</w:t>
      </w:r>
      <w:r>
        <w:t xml:space="preserve"> </w:t>
      </w:r>
      <w:r>
        <w:t xml:space="preserve">newborns die at rates that immediate skin-to-skin contact demonstrably reduces.</w:t>
      </w:r>
    </w:p>
    <w:p>
      <w:pPr>
        <w:pStyle w:val="BodyText"/>
      </w:pPr>
      <w:r>
        <w:rPr>
          <w:b/>
          <w:bCs/>
        </w:rPr>
        <w:t xml:space="preserve">What works — the facility package.</w:t>
      </w:r>
      <w:r>
        <w:t xml:space="preserve"> </w:t>
      </w:r>
      <w:r>
        <w:rPr>
          <w:b/>
          <w:bCs/>
        </w:rPr>
        <w:t xml:space="preserve">Kangaroo mother care cuts mortality by 32%</w:t>
      </w:r>
      <w:r>
        <w:t xml:space="preserve"> </w:t>
      </w:r>
      <w:r>
        <w:t xml:space="preserve">(RR 0.68,</w:t>
      </w:r>
      <w:r>
        <w:t xml:space="preserve"> </w:t>
      </w:r>
      <w:r>
        <w:t xml:space="preserve">0.53–0.86) in</w:t>
      </w:r>
      <w:r>
        <w:t xml:space="preserve"> </w:t>
      </w:r>
      <w:r>
        <w:rPr>
          <w:b/>
          <w:bCs/>
        </w:rPr>
        <w:t xml:space="preserve">preterm or low-birth-weight infants</w:t>
      </w:r>
      <w:r>
        <w:t xml:space="preserve">. This is the strongest clinical result in</w:t>
      </w:r>
      <w:r>
        <w:t xml:space="preserve"> </w:t>
      </w:r>
      <w:r>
        <w:t xml:space="preserve">the entire review and carries the strongest normative backing: WHO recommends starting</w:t>
      </w:r>
      <w:r>
        <w:t xml:space="preserve"> </w:t>
      </w:r>
      <w:r>
        <w:rPr>
          <w:b/>
          <w:bCs/>
        </w:rPr>
        <w:t xml:space="preserve">as soon</w:t>
      </w:r>
      <w:r>
        <w:rPr>
          <w:b/>
          <w:bCs/>
        </w:rPr>
        <w:t xml:space="preserve"> </w:t>
      </w:r>
      <w:r>
        <w:rPr>
          <w:b/>
          <w:bCs/>
        </w:rPr>
        <w:t xml:space="preserve">as possible after birth — a strong recommendation on high-certainty evidence</w:t>
      </w:r>
      <w:r>
        <w:t xml:space="preserve"> </w:t>
      </w:r>
      <w:r>
        <w:t xml:space="preserve">— for 8 to 24</w:t>
      </w:r>
      <w:r>
        <w:t xml:space="preserve"> </w:t>
      </w:r>
      <w:r>
        <w:t xml:space="preserve">hours a day. There is</w:t>
      </w:r>
      <w:r>
        <w:t xml:space="preserve"> </w:t>
      </w:r>
      <w:r>
        <w:rPr>
          <w:b/>
          <w:bCs/>
        </w:rPr>
        <w:t xml:space="preserve">no commodity to buy</w:t>
      </w:r>
      <w:r>
        <w:t xml:space="preserve">. A trial in Uganda found ward-readiness costs of</w:t>
      </w:r>
      <w:r>
        <w:t xml:space="preserve"> </w:t>
      </w:r>
      <w:r>
        <w:t xml:space="preserve">$31,000 to $114,000 per hospital, and that the practice</w:t>
      </w:r>
      <w:r>
        <w:t xml:space="preserve"> </w:t>
      </w:r>
      <w:r>
        <w:rPr>
          <w:b/>
          <w:bCs/>
        </w:rPr>
        <w:t xml:space="preserve">decreased</w:t>
      </w:r>
      <w:r>
        <w:t xml:space="preserve"> </w:t>
      </w:r>
      <w:r>
        <w:t xml:space="preserve">the cost of neonatal care</w:t>
      </w:r>
      <w:r>
        <w:t xml:space="preserve"> </w:t>
      </w:r>
      <w:r>
        <w:t xml:space="preserve">to providers and society.</w:t>
      </w:r>
    </w:p>
    <w:p>
      <w:pPr>
        <w:pStyle w:val="BodyText"/>
      </w:pPr>
      <w:r>
        <w:rPr>
          <w:b/>
          <w:bCs/>
        </w:rPr>
        <w:t xml:space="preserve">What works — the community package.</w:t>
      </w:r>
      <w:r>
        <w:t xml:space="preserve"> </w:t>
      </w:r>
      <w:r>
        <w:t xml:space="preserve">Support reduces women stopping exclusive breastfeeding at</w:t>
      </w:r>
      <w:r>
        <w:t xml:space="preserve"> </w:t>
      </w:r>
      <w:r>
        <w:t xml:space="preserve">four to six weeks (RR 0.83) and at six months (RR 0.90). At scale, Alive &amp; Thrive raised</w:t>
      </w:r>
      <w:r>
        <w:t xml:space="preserve"> </w:t>
      </w:r>
      <w:r>
        <w:t xml:space="preserve">exclusive breastfeeding by</w:t>
      </w:r>
      <w:r>
        <w:t xml:space="preserve"> </w:t>
      </w:r>
      <w:r>
        <w:rPr>
          <w:b/>
          <w:bCs/>
        </w:rPr>
        <w:t xml:space="preserve">36 percentage points in Bangladesh and 28 in Viet Nam</w:t>
      </w:r>
      <w:r>
        <w:t xml:space="preserve"> </w:t>
      </w:r>
      <w:r>
        <w:t xml:space="preserve">— through an</w:t>
      </w:r>
      <w:r>
        <w:t xml:space="preserve"> </w:t>
      </w:r>
      <w:r>
        <w:t xml:space="preserve">NGO network in one country and government facilities in the other, which is the best available</w:t>
      </w:r>
      <w:r>
        <w:t xml:space="preserve"> </w:t>
      </w:r>
      <w:r>
        <w:t xml:space="preserve">evidence that the channel is substitutable.</w:t>
      </w:r>
    </w:p>
    <w:p>
      <w:pPr>
        <w:pStyle w:val="BodyText"/>
      </w:pPr>
      <w:r>
        <w:rPr>
          <w:b/>
          <w:bCs/>
        </w:rPr>
        <w:t xml:space="preserve">What does not work.</w:t>
      </w:r>
      <w:r>
        <w:t xml:space="preserve"> </w:t>
      </w:r>
      <w:r>
        <w:rPr>
          <w:b/>
          <w:bCs/>
        </w:rPr>
        <w:t xml:space="preserve">“Support breastfeeding”</w:t>
      </w:r>
      <w:r>
        <w:rPr>
          <w:b/>
          <w:bCs/>
        </w:rPr>
        <w:t xml:space="preserve"> </w:t>
      </w:r>
      <w:r>
        <w:rPr>
          <w:b/>
          <w:bCs/>
        </w:rPr>
        <w:t xml:space="preserve">as a message.</w:t>
      </w:r>
      <w:r>
        <w:t xml:space="preserve"> </w:t>
      </w:r>
      <w:r>
        <w:t xml:space="preserve">Cochrane’s 116-trial review</w:t>
      </w:r>
      <w:r>
        <w:t xml:space="preserve"> </w:t>
      </w:r>
      <w:r>
        <w:t xml:space="preserve">found no difference by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delivers support — professional, peer or both — but did find that</w:t>
      </w:r>
      <w:r>
        <w:t xml:space="preserve"> </w:t>
      </w:r>
      <w:r>
        <w:rPr>
          <w:b/>
          <w:bCs/>
        </w:rPr>
        <w:t xml:space="preserve">contact intensity matters</w:t>
      </w:r>
      <w:r>
        <w:t xml:space="preserve">, with four to eight visits the tentative optimum. Design the</w:t>
      </w:r>
      <w:r>
        <w:t xml:space="preserve"> </w:t>
      </w:r>
      <w:r>
        <w:t xml:space="preserve">schedule, not the cadre.</w:t>
      </w:r>
    </w:p>
    <w:p>
      <w:pPr>
        <w:pStyle w:val="BodyText"/>
      </w:pPr>
      <w:r>
        <w:rPr>
          <w:b/>
          <w:bCs/>
        </w:rPr>
        <w:t xml:space="preserve">What must not be claimed.</w:t>
      </w:r>
      <w:r>
        <w:t xml:space="preserve"> </w:t>
      </w:r>
      <w:r>
        <w:t xml:space="preserve">The finding that community packages cut neonatal mortality by a</w:t>
      </w:r>
      <w:r>
        <w:t xml:space="preserve"> </w:t>
      </w:r>
      <w:r>
        <w:t xml:space="preserve">quarter belongs to</w:t>
      </w:r>
      <w:r>
        <w:t xml:space="preserve"> </w:t>
      </w:r>
      <w:r>
        <w:rPr>
          <w:b/>
          <w:bCs/>
        </w:rPr>
        <w:t xml:space="preserve">multi-component packages</w:t>
      </w:r>
      <w:r>
        <w:t xml:space="preserve"> </w:t>
      </w:r>
      <w:r>
        <w:t xml:space="preserve">— women’s groups, home visits, birth-attendant</w:t>
      </w:r>
      <w:r>
        <w:t xml:space="preserve"> </w:t>
      </w:r>
      <w:r>
        <w:t xml:space="preserve">training — in which breastfeeding support is one element. The breastfeeding-specific share</w:t>
      </w:r>
      <w:r>
        <w:t xml:space="preserve"> </w:t>
      </w:r>
      <w:r>
        <w:t xml:space="preserve">cannot be isolated. We know how to improve breastfeeding practice; we cannot attribute a</w:t>
      </w:r>
      <w:r>
        <w:t xml:space="preserve"> </w:t>
      </w:r>
      <w:r>
        <w:t xml:space="preserve">mortality reduction to breastfeeding alone.</w:t>
      </w:r>
    </w:p>
    <w:bookmarkStart w:id="20" w:name="from-to-2"/>
    <w:p>
      <w:pPr>
        <w:pStyle w:val="Heading2"/>
      </w:pPr>
      <w:r>
        <w:t xml:space="preserve">From → 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practice</w:t>
            </w:r>
          </w:p>
        </w:tc>
        <w:tc>
          <w:tcPr/>
          <w:p>
            <w:pPr>
              <w:pStyle w:val="Compact"/>
            </w:pPr>
            <w:r>
              <w:t xml:space="preserve">Evidence-backed 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Kangaroo care after the infant stabilises</w:t>
            </w:r>
          </w:p>
        </w:tc>
        <w:tc>
          <w:tcPr/>
          <w:p>
            <w:pPr>
              <w:pStyle w:val="Compact"/>
            </w:pPr>
            <w:r>
              <w:t xml:space="preserve">Kangaroo care started as soon as possible after birth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Breastfeeding counselling as a general message</w:t>
            </w:r>
          </w:p>
        </w:tc>
        <w:tc>
          <w:tcPr/>
          <w:p>
            <w:pPr>
              <w:pStyle w:val="Compact"/>
            </w:pPr>
            <w:r>
              <w:t xml:space="preserve">A defined schedule of four to eight 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Cadre debates (professional vs peer)</w:t>
            </w:r>
          </w:p>
        </w:tc>
        <w:tc>
          <w:tcPr/>
          <w:p>
            <w:pPr>
              <w:pStyle w:val="Compact"/>
            </w:pPr>
            <w:r>
              <w:t xml:space="preserve">Package and intensity designed; cadre chosen on cost and availability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this asks of CARE.</w:t>
      </w:r>
      <w:r>
        <w:t xml:space="preserve"> </w:t>
      </w:r>
      <w:r>
        <w:t xml:space="preserve">Kangaroo care is a</w:t>
      </w:r>
      <w:r>
        <w:t xml:space="preserve"> </w:t>
      </w:r>
      <w:r>
        <w:rPr>
          <w:b/>
          <w:bCs/>
        </w:rPr>
        <w:t xml:space="preserve">protocol and training change inside facilities</w:t>
      </w:r>
      <w:r>
        <w:rPr>
          <w:b/>
          <w:bCs/>
        </w:rPr>
        <w:t xml:space="preserve"> </w:t>
      </w:r>
      <w:r>
        <w:rPr>
          <w:b/>
          <w:bCs/>
        </w:rPr>
        <w:t xml:space="preserve">that already exist</w:t>
      </w:r>
      <w:r>
        <w:t xml:space="preserve"> </w:t>
      </w:r>
      <w:r>
        <w:t xml:space="preserve">— the lowest-cost change in this memo. The community package is the</w:t>
      </w:r>
      <w:r>
        <w:t xml:space="preserve"> </w:t>
      </w:r>
      <w:r>
        <w:t xml:space="preserve">opposite: it needs a defined contact schedule and the workforce to deliver it.</w:t>
      </w:r>
    </w:p>
    <w:bookmarkEnd w:id="20"/>
    <w:bookmarkStart w:id="21" w:name="where-2"/>
    <w:p>
      <w:pPr>
        <w:pStyle w:val="Heading2"/>
      </w:pPr>
      <w:r>
        <w:t xml:space="preserve">Where</w:t>
      </w:r>
    </w:p>
    <w:p>
      <w:pPr>
        <w:pStyle w:val="FirstParagraph"/>
      </w:pPr>
      <w:r>
        <w:rPr>
          <w:b/>
          <w:bCs/>
        </w:rPr>
        <w:t xml:space="preserve">South Asia</w:t>
      </w:r>
      <w:r>
        <w:t xml:space="preserve"> </w:t>
      </w:r>
      <w:r>
        <w:t xml:space="preserve">for the facility package, where low birthweight is highest and facility delivery</w:t>
      </w:r>
      <w:r>
        <w:t xml:space="preserve"> </w:t>
      </w:r>
      <w:r>
        <w:t xml:space="preserve">is rising. The community package is less geographically constrained — it follows the workforce,</w:t>
      </w:r>
      <w:r>
        <w:t xml:space="preserve"> </w:t>
      </w:r>
      <w:r>
        <w:t xml:space="preserve">not the burden.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what-we-are-asking-for"/>
    <w:p>
      <w:pPr>
        <w:pStyle w:val="Heading1"/>
      </w:pPr>
      <w:r>
        <w:t xml:space="preserve">What we are asking for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Pick the shape before the intervention.</w:t>
      </w:r>
      <w:r>
        <w:t xml:space="preserve"> </w:t>
      </w:r>
      <w:r>
        <w:t xml:space="preserve">If the goal is more children reached within a</w:t>
      </w:r>
      <w:r>
        <w:t xml:space="preserve"> </w:t>
      </w:r>
      <w:r>
        <w:t xml:space="preserve">flat budget, the simplified CMAM protocol is the only one of the three that delivers it.</w:t>
      </w:r>
      <w:r>
        <w:t xml:space="preserve"> </w:t>
      </w:r>
      <w:r>
        <w:t xml:space="preserve">If the goal is a better outcome for the same population, MMS. If the goal is a mortality</w:t>
      </w:r>
      <w:r>
        <w:t xml:space="preserve"> </w:t>
      </w:r>
      <w:r>
        <w:t xml:space="preserve">result at almost no commodity cost, kangaroo care.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not run options one and three on the same workforce.</w:t>
      </w:r>
      <w:r>
        <w:t xml:space="preserve"> </w:t>
      </w:r>
      <w:r>
        <w:t xml:space="preserve">Both draw on frontline health</w:t>
      </w:r>
      <w:r>
        <w:t xml:space="preserve"> </w:t>
      </w:r>
      <w:r>
        <w:t xml:space="preserve">workers; running them together is the highest-risk configuration.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 the measurement.</w:t>
      </w:r>
      <w:r>
        <w:t xml:space="preserve"> </w:t>
      </w:r>
      <w:r>
        <w:t xml:space="preserve">Two of the three failure modes in this memo — screening without</w:t>
      </w:r>
      <w:r>
        <w:t xml:space="preserve"> </w:t>
      </w:r>
      <w:r>
        <w:t xml:space="preserve">treatment, and discharge without follow-up — are invisible unless both numbers are reported.</w:t>
      </w:r>
    </w:p>
    <w:p>
      <w:pPr>
        <w:pStyle w:val="FirstParagraph"/>
      </w:pPr>
      <w:r>
        <w:rPr>
          <w:b/>
          <w:bCs/>
        </w:rPr>
        <w:t xml:space="preserve">Three data layers would sharpen a country decision</w:t>
      </w:r>
      <w:r>
        <w:t xml:space="preserve"> </w:t>
      </w:r>
      <w:r>
        <w:t xml:space="preserve">before committing: sub-national wasting</w:t>
      </w:r>
      <w:r>
        <w:t xml:space="preserve"> </w:t>
      </w:r>
      <w:r>
        <w:t xml:space="preserve">prevalence, maternal anaemia, and facility delivery coverage.</w:t>
      </w:r>
    </w:p>
    <w:p>
      <w:pPr>
        <w:pStyle w:val="BodyText"/>
      </w:pPr>
      <w:r>
        <w:t xml:space="preserve">And the decisive factors are not in any literature — government appetite, current policy</w:t>
      </w:r>
      <w:r>
        <w:t xml:space="preserve"> </w:t>
      </w:r>
      <w:r>
        <w:t xml:space="preserve">windows, fragility, and the financing landscape. The evidence can say where these interventions</w:t>
      </w:r>
      <w:r>
        <w:t xml:space="preserve"> </w:t>
      </w:r>
      <w:r>
        <w:t xml:space="preserve">have the most to work with. It cannot say where they can actually be built.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 w:before="0" w:line="276" w:lineRule="auto"/>
    </w:pPr>
    <w:rPr>
      <w:rFonts w:ascii="Cambria" w:cs="Cambria" w:eastAsia="Cambria" w:hAnsi="Cambria"/>
      <w:color w:val="1A1A1A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40" w:before="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0"/>
      <w:pBdr>
        <w:bottom w:color="12495B" w:space="6" w:sz="12" w:val="single"/>
      </w:pBdr>
    </w:pPr>
    <w:rPr>
      <w:rFonts w:ascii="Calibri" w:cs="Calibri" w:eastAsia="Calibri" w:hAnsi="Calibri"/>
      <w:b/>
      <w:color w:val="12495B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after="240" w:before="0"/>
    </w:pPr>
    <w:rPr>
      <w:rFonts w:ascii="Calibri" w:cs="Calibri" w:eastAsia="Calibri" w:hAnsi="Calibri"/>
      <w:color w:val="1F6B7B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20"/>
      <w:outlineLvl w:val="0"/>
    </w:pPr>
    <w:rPr>
      <w:rFonts w:ascii="Calibri" w:cs="Calibri" w:eastAsia="Calibri" w:hAnsi="Calibri"/>
      <w:b/>
      <w:color w:val="12495B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Calibri" w:cs="Calibri" w:eastAsia="Calibri" w:hAnsi="Calibri"/>
      <w:b/>
      <w:color w:val="1F6B7B"/>
      <w:sz w:val="27"/>
      <w:szCs w:val="27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Calibri" w:cs="Calibri" w:eastAsia="Calibri" w:hAnsi="Calibri"/>
      <w:b/>
      <w:color w:val="3D4A52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90" w:before="220"/>
      <w:outlineLvl w:val="3"/>
    </w:pPr>
    <w:rPr>
      <w:rFonts w:ascii="Calibri" w:cs="Calibri" w:eastAsia="Calibri" w:hAnsi="Calibri"/>
      <w:b/>
      <w:color w:val="3D4A52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top w:color="C9D6DB" w:space="8" w:sz="4" w:val="single"/>
        <w:left w:color="1F6B7B" w:space="10" w:sz="18" w:val="single"/>
        <w:bottom w:color="C9D6DB" w:space="8" w:sz="4" w:val="single"/>
        <w:right w:color="C9D6DB" w:space="8" w:sz="4" w:val="single"/>
      </w:pBdr>
      <w:shd w:color="auto" w:fill="F2F7F9" w:val="clear"/>
      <w:spacing w:after="160" w:before="160" w:line="264" w:lineRule="auto"/>
      <w:ind w:left="0" w:right="0"/>
    </w:pPr>
    <w:rPr>
      <w:rFonts w:ascii="Cambria" w:cs="Cambria" w:eastAsia="Cambria" w:hAnsi="Cambria"/>
      <w:color w:val="1A1A1A"/>
      <w:sz w:val="20"/>
      <w:szCs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Table" w:type="table">
    <w:name w:val="Table"/>
    <w:uiPriority w:val="99"/>
    <w:pPr>
      <w:spacing w:after="40" w:before="40" w:line="240" w:lineRule="auto"/>
    </w:pPr>
    <w:rPr>
      <w:rFonts w:ascii="Cambria" w:cs="Cambria" w:eastAsia="Cambria" w:hAnsi="Cambria"/>
      <w:sz w:val="19"/>
      <w:szCs w:val="19"/>
    </w:rPr>
    <w:tblPr>
      <w:tblBorders>
        <w:top w:color="C9D6DB" w:space="0" w:sz="4" w:val="single"/>
        <w:left w:color="C9D6DB" w:space="0" w:sz="4" w:val="single"/>
        <w:bottom w:color="C9D6DB" w:space="0" w:sz="4" w:val="single"/>
        <w:right w:color="C9D6DB" w:space="0" w:sz="4" w:val="single"/>
        <w:insideH w:color="C9D6DB" w:space="0" w:sz="4" w:val="single"/>
        <w:insideV w:color="C9D6DB" w:space="0" w:sz="4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  <w:color w:val="12495B"/>
      </w:rPr>
      <w:tcPr>
        <w:shd w:color="auto" w:fill="E4EDF1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 Nutrition Interventions Governments Can Move On Now</dc:title>
  <dc:creator/>
  <cp:keywords/>
  <dcterms:created xsi:type="dcterms:W3CDTF">2026-09-02T01:36:39Z</dcterms:created>
  <dcterms:modified xsi:type="dcterms:W3CDTF">2026-09-02T01:36:39Z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  <property fmtid="{D5CDD505-2E9C-101B-9397-08002B2CF9AE}" pid="3" name="subtitle">
    <vt:lpwstr>ScaleWorks policy memo for the Impact Alliance — CARE, Mercy Corps, Save the Children</vt:lpwstr>
  </property>
</Properties>
</file>