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Works, and Why</w:t>
      </w:r>
    </w:p>
    <w:p>
      <w:pPr>
        <w:pStyle w:val="Subtitle"/>
      </w:pPr>
      <w:r>
        <w:t xml:space="preserve">Four nutrition interventions — evidence, mechanism and adoption pathway. For CARE and Impact Alliance partners</w:t>
      </w:r>
    </w:p>
    <w:p>
      <w:pPr>
        <w:pStyle w:val="Date"/>
      </w:pPr>
      <w:r>
        <w:t xml:space="preserve">August 2026</w:t>
      </w:r>
    </w:p>
    <w:p>
      <w:pPr>
        <w:pStyle w:val="FirstParagraph"/>
      </w:pPr>
      <w:r>
        <w:t xml:space="preserve">Each section sets out the problem and the mechanism that makes it one; the intervention and why</w:t>
      </w:r>
      <w:r>
        <w:t xml:space="preserve"> </w:t>
      </w:r>
      <w:r>
        <w:t xml:space="preserve">it works; the caveats that bound the claim; the implications for government adoption; and the</w:t>
      </w:r>
      <w:r>
        <w:t xml:space="preserve"> </w:t>
      </w:r>
      <w:r>
        <w:t xml:space="preserve">geographies with the strongest case. Caveats are stated explicitly because each marks a point at</w:t>
      </w:r>
      <w:r>
        <w:t xml:space="preserve"> </w:t>
      </w:r>
      <w:r>
        <w:t xml:space="preserve">which a defensible summary can drift past what the evidence supports.</w:t>
      </w:r>
    </w:p>
    <w:p>
      <w:pPr>
        <w:pStyle w:val="BodyText"/>
      </w:pPr>
      <w:r>
        <w:t xml:space="preserve">There are four sections rather than three. Breastfeeding support is treated separately, because</w:t>
      </w:r>
      <w:r>
        <w:t xml:space="preserve"> </w:t>
      </w:r>
      <w:r>
        <w:t xml:space="preserve">the evidence for it is stronger than a first reading suggests.</w:t>
      </w:r>
    </w:p>
    <w:p>
      <w:r>
        <w:pict>
          <v:rect style="width:0;height:1.5pt" o:hralign="center" o:hrstd="t" o:hr="t"/>
        </w:pict>
      </w:r>
    </w:p>
    <w:bookmarkStart w:id="14" w:name="treating-child-wasting-cmam"/>
    <w:p>
      <w:pPr>
        <w:pStyle w:val="Heading1"/>
      </w:pPr>
      <w:r>
        <w:t xml:space="preserve">1. Treating child wasting (CMAM)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Approximately</w:t>
      </w:r>
      <w:r>
        <w:t xml:space="preserve"> </w:t>
      </w:r>
      <w:r>
        <w:rPr>
          <w:b/>
          <w:bCs/>
        </w:rPr>
        <w:t xml:space="preserve">one severely wasted child in three receives treatment</w:t>
      </w:r>
      <w:r>
        <w:t xml:space="preserve"> </w:t>
      </w:r>
      <w:r>
        <w:t xml:space="preserve">(Global Action Plan on</w:t>
      </w:r>
      <w:r>
        <w:t xml:space="preserve"> </w:t>
      </w:r>
      <w:r>
        <w:t xml:space="preserve">Child Wasting, on 2019 admissions data);</w:t>
      </w:r>
      <w:r>
        <w:t xml:space="preserve"> </w:t>
      </w:r>
      <w:r>
        <w:rPr>
          <w:b/>
          <w:bCs/>
        </w:rPr>
        <w:t xml:space="preserve">two in three go untreated</w:t>
      </w:r>
      <w:r>
        <w:t xml:space="preserve">.</w:t>
      </w:r>
    </w:p>
    <w:p>
      <w:pPr>
        <w:pStyle w:val="BodyText"/>
      </w:pPr>
      <w:r>
        <w:t xml:space="preserve">The consequence is not deferred. Severe wasting carries roughly a</w:t>
      </w:r>
      <w:r>
        <w:t xml:space="preserve"> </w:t>
      </w:r>
      <w:r>
        <w:rPr>
          <w:b/>
          <w:bCs/>
        </w:rPr>
        <w:t xml:space="preserve">twelvefold mortality hazard</w:t>
      </w:r>
      <w:r>
        <w:t xml:space="preserve"> </w:t>
      </w:r>
      <w:r>
        <w:t xml:space="preserve">relative to normal weight-for-height. An effective treatment exists, and most eligible children</w:t>
      </w:r>
      <w:r>
        <w:t xml:space="preserve"> </w:t>
      </w:r>
      <w:r>
        <w:t xml:space="preserve">never reach it.</w:t>
      </w:r>
    </w:p>
    <w:p>
      <w:pPr>
        <w:pStyle w:val="BodyText"/>
      </w:pPr>
      <w:r>
        <w:t xml:space="preserve">Nor does treatment close the episode.</w:t>
      </w:r>
      <w:r>
        <w:t xml:space="preserve"> </w:t>
      </w:r>
      <w:r>
        <w:rPr>
          <w:b/>
          <w:bCs/>
        </w:rPr>
        <w:t xml:space="preserve">Between 22% and 63%</w:t>
      </w:r>
      <w:r>
        <w:t xml:space="preserve"> </w:t>
      </w:r>
      <w:r>
        <w:t xml:space="preserve">of children discharged as recovered</w:t>
      </w:r>
      <w:r>
        <w:t xml:space="preserve"> </w:t>
      </w:r>
      <w:r>
        <w:t xml:space="preserve">relapse within six months, depending on setting. Better anthropometric status at discharge is</w:t>
      </w:r>
      <w:r>
        <w:t xml:space="preserve"> </w:t>
      </w:r>
      <w:r>
        <w:t xml:space="preserve">protective, but beyond that few discharge-time characteristics predict relapse: what does is</w:t>
      </w:r>
      <w:r>
        <w:t xml:space="preserve"> </w:t>
      </w:r>
      <w:r>
        <w:t xml:space="preserve">household food insecurity and morbidity</w:t>
      </w:r>
      <w:r>
        <w:t xml:space="preserve"> </w:t>
      </w:r>
      <w:r>
        <w:rPr>
          <w:b/>
          <w:bCs/>
        </w:rPr>
        <w:t xml:space="preserve">afterwards</w:t>
      </w:r>
      <w:r>
        <w:t xml:space="preserve"> </w:t>
      </w:r>
      <w:r>
        <w:t xml:space="preserve">— determinants that sit outside the</w:t>
      </w:r>
      <w:r>
        <w:t xml:space="preserve"> </w:t>
      </w:r>
      <w:r>
        <w:t xml:space="preserve">treatment episode. The implication is discharge criteria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post-discharge support, not one</w:t>
      </w:r>
      <w:r>
        <w:t xml:space="preserve"> </w:t>
      </w:r>
      <w:r>
        <w:t xml:space="preserve">in place of the other.</w:t>
      </w:r>
    </w:p>
    <w:bookmarkEnd w:id="9"/>
    <w:bookmarkStart w:id="1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Simplified protocols for the uncomplicated caseload.</w:t>
      </w:r>
      <w:r>
        <w:t xml:space="preserve"> </w:t>
      </w:r>
      <w:r>
        <w:t xml:space="preserve">These use</w:t>
      </w:r>
      <w:r>
        <w:t xml:space="preserve"> </w:t>
      </w:r>
      <w:r>
        <w:rPr>
          <w:b/>
          <w:bCs/>
        </w:rPr>
        <w:t xml:space="preserve">32–50% less</w:t>
      </w:r>
      <w:r>
        <w:t xml:space="preserve"> </w:t>
      </w:r>
      <w:r>
        <w:t xml:space="preserve">ready-to-use</w:t>
      </w:r>
      <w:r>
        <w:t xml:space="preserve"> </w:t>
      </w:r>
      <w:r>
        <w:t xml:space="preserve">therapeutic food while holding recovery. In a 2025 three-arm trial in Niger, the combined</w:t>
      </w:r>
      <w:r>
        <w:t xml:space="preserve"> </w:t>
      </w:r>
      <w:r>
        <w:t xml:space="preserve">SAM/MAM protocol (ComPAS, 50% reduction) met non-inferiority on both intention-to-treat and</w:t>
      </w:r>
      <w:r>
        <w:t xml:space="preserve"> </w:t>
      </w:r>
      <w:r>
        <w:t xml:space="preserve">per-protocol analysis; the tapered-dose protocol (OptiMA, 32% reduction) met it on</w:t>
      </w:r>
      <w:r>
        <w:t xml:space="preserve"> </w:t>
      </w:r>
      <w:r>
        <w:t xml:space="preserve">intention-to-treat only.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Therapeutic food is the largest single line item — 43% of institutional cost in the</w:t>
      </w:r>
      <w:r>
        <w:t xml:space="preserve"> </w:t>
      </w:r>
      <w:r>
        <w:t xml:space="preserve">Ethiopian community programme where it was measured — and the component of the standard protocol</w:t>
      </w:r>
      <w:r>
        <w:t xml:space="preserve"> </w:t>
      </w:r>
      <w:r>
        <w:t xml:space="preserve">most generous relative to the requirement of an uncomplicated case. The ComPAS trial measured the</w:t>
      </w:r>
      <w:r>
        <w:t xml:space="preserve"> </w:t>
      </w:r>
      <w:r>
        <w:t xml:space="preserve">result directly:</w:t>
      </w:r>
      <w:r>
        <w:t xml:space="preserve"> </w:t>
      </w:r>
      <w:r>
        <w:rPr>
          <w:b/>
          <w:bCs/>
        </w:rPr>
        <w:t xml:space="preserve">US$918 per child recovered under the combined protocol against US$1,041 under</w:t>
      </w:r>
      <w:r>
        <w:rPr>
          <w:b/>
          <w:bCs/>
        </w:rPr>
        <w:t xml:space="preserve"> </w:t>
      </w:r>
      <w:r>
        <w:rPr>
          <w:b/>
          <w:bCs/>
        </w:rPr>
        <w:t xml:space="preserve">the standard protocol</w:t>
      </w:r>
      <w:r>
        <w:t xml:space="preserve">, using 122 rather than 193 sachets. That is a</w:t>
      </w:r>
      <w:r>
        <w:t xml:space="preserve"> </w:t>
      </w:r>
      <w:r>
        <w:rPr>
          <w:b/>
          <w:bCs/>
        </w:rPr>
        <w:t xml:space="preserve">12% saving, or roughly</w:t>
      </w:r>
      <w:r>
        <w:rPr>
          <w:b/>
          <w:bCs/>
        </w:rPr>
        <w:t xml:space="preserve"> </w:t>
      </w:r>
      <w:r>
        <w:rPr>
          <w:b/>
          <w:bCs/>
        </w:rPr>
        <w:t xml:space="preserve">13% more children recovered for the same budget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Cash transfers alongside treatment.</w:t>
      </w:r>
      <w:r>
        <w:t xml:space="preserve"> </w:t>
      </w:r>
      <w:r>
        <w:t xml:space="preserve">A cluster-randomised trial in the Democratic Republic of</w:t>
      </w:r>
      <w:r>
        <w:t xml:space="preserve"> </w:t>
      </w:r>
      <w:r>
        <w:t xml:space="preserve">Congo added US$40 per month for six months to standard treatment. Relapse fell by</w:t>
      </w:r>
      <w:r>
        <w:t xml:space="preserve"> </w:t>
      </w:r>
      <w:r>
        <w:rPr>
          <w:b/>
          <w:bCs/>
        </w:rPr>
        <w:t xml:space="preserve">70–80%</w:t>
      </w:r>
      <w:r>
        <w:t xml:space="preserve"> </w:t>
      </w:r>
      <w:r>
        <w:t xml:space="preserve">(adjusted hazard ratios 0.21 to moderate and 0.30 to severe acute malnutrition) and recovery rose</w:t>
      </w:r>
      <w:r>
        <w:t xml:space="preserve"> </w:t>
      </w:r>
      <w:r>
        <w:rPr>
          <w:b/>
          <w:bCs/>
        </w:rPr>
        <w:t xml:space="preserve">35%</w:t>
      </w:r>
      <w:r>
        <w:t xml:space="preserve">.</w:t>
      </w:r>
    </w:p>
    <w:p>
      <w:pPr>
        <w:pStyle w:val="BodyText"/>
      </w:pPr>
      <w:r>
        <w:t xml:space="preserve">The 35% refers to the hazard of reaching full recovery, not to the proportion recovered.</w:t>
      </w:r>
      <w:r>
        <w:t xml:space="preserve"> </w:t>
      </w:r>
      <w:r>
        <w:rPr>
          <w:b/>
          <w:bCs/>
        </w:rPr>
        <w:t xml:space="preserve">WHO’s 2023 guideline conditionally recommends cash transfers in addition to routine care to</w:t>
      </w:r>
      <w:r>
        <w:rPr>
          <w:b/>
          <w:bCs/>
        </w:rPr>
        <w:t xml:space="preserve"> </w:t>
      </w:r>
      <w:r>
        <w:rPr>
          <w:b/>
          <w:bCs/>
        </w:rPr>
        <w:t xml:space="preserve">reduce relapse</w:t>
      </w:r>
      <w:r>
        <w:t xml:space="preserve">, on moderate-certainty evidence.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The transfer addresses the household food insecurity that drives relapse. Transfer</w:t>
      </w:r>
      <w:r>
        <w:t xml:space="preserve"> </w:t>
      </w:r>
      <w:r>
        <w:t xml:space="preserve">size may be the active ingredient — a pooled review found no effect from standard unconditional</w:t>
      </w:r>
      <w:r>
        <w:t xml:space="preserve"> </w:t>
      </w:r>
      <w:r>
        <w:t xml:space="preserve">transfers and a significant effect from doubled transfers — but this is contested, and at least</w:t>
      </w:r>
      <w:r>
        <w:t xml:space="preserve"> </w:t>
      </w:r>
      <w:r>
        <w:t xml:space="preserve">one trial of a doubled transfer found no nutritional gain.</w:t>
      </w:r>
    </w:p>
    <w:p>
      <w:pPr>
        <w:pStyle w:val="BodyText"/>
      </w:pPr>
      <w:r>
        <w:rPr>
          <w:b/>
          <w:bCs/>
        </w:rPr>
        <w:t xml:space="preserve">Screening without a treatment pathway does not work.</w:t>
      </w:r>
      <w:r>
        <w:t xml:space="preserve"> </w:t>
      </w:r>
      <w:r>
        <w:t xml:space="preserve">In Mali, a trial raised screening</w:t>
      </w:r>
      <w:r>
        <w:t xml:space="preserve"> </w:t>
      </w:r>
      <w:r>
        <w:t xml:space="preserve">coverage by</w:t>
      </w:r>
      <w:r>
        <w:t xml:space="preserve"> </w:t>
      </w:r>
      <w:r>
        <w:rPr>
          <w:b/>
          <w:bCs/>
        </w:rPr>
        <w:t xml:space="preserve">40 percentage points</w:t>
      </w:r>
      <w:r>
        <w:t xml:space="preserve"> </w:t>
      </w:r>
      <w:r>
        <w:t xml:space="preserve">with no change in treatment coverage. In Burundi, community</w:t>
      </w:r>
      <w:r>
        <w:t xml:space="preserve"> </w:t>
      </w:r>
      <w:r>
        <w:t xml:space="preserve">mass screening enrolled</w:t>
      </w:r>
      <w:r>
        <w:t xml:space="preserve"> </w:t>
      </w:r>
      <w:r>
        <w:rPr>
          <w:b/>
          <w:bCs/>
        </w:rPr>
        <w:t xml:space="preserve">8%</w:t>
      </w:r>
      <w:r>
        <w:t xml:space="preserve"> </w:t>
      </w:r>
      <w:r>
        <w:t xml:space="preserve">of detected cases against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for clinic-based systematic</w:t>
      </w:r>
      <w:r>
        <w:t xml:space="preserve"> </w:t>
      </w:r>
      <w:r>
        <w:t xml:space="preserve">screening.</w:t>
      </w:r>
    </w:p>
    <w:p>
      <w:pPr>
        <w:pStyle w:val="BodyText"/>
      </w:pPr>
      <w:r>
        <w:rPr>
          <w:i/>
          <w:iCs/>
        </w:rPr>
        <w:t xml:space="preserve">Mechanism, Mali.</w:t>
      </w:r>
      <w:r>
        <w:t xml:space="preserve"> </w:t>
      </w:r>
      <w:r>
        <w:t xml:space="preserve">Community volunteers distributed preventive supplements to the children they</w:t>
      </w:r>
      <w:r>
        <w:t xml:space="preserve"> </w:t>
      </w:r>
      <w:r>
        <w:t xml:space="preserve">identified rather than referring them, and enrolment in treatment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by 10 percentage</w:t>
      </w:r>
      <w:r>
        <w:t xml:space="preserve"> </w:t>
      </w:r>
      <w:r>
        <w:t xml:space="preserve">points.</w:t>
      </w:r>
      <w:r>
        <w:t xml:space="preserve"> </w:t>
      </w:r>
      <w:r>
        <w:rPr>
          <w:i/>
          <w:iCs/>
        </w:rPr>
        <w:t xml:space="preserve">Mechanism, Burundi.</w:t>
      </w:r>
      <w:r>
        <w:t xml:space="preserve"> </w:t>
      </w:r>
      <w:r>
        <w:t xml:space="preserve">Community detection introduces a referral step that clinic</w:t>
      </w:r>
      <w:r>
        <w:t xml:space="preserve"> </w:t>
      </w:r>
      <w:r>
        <w:t xml:space="preserve">detection does not, since a child identified at a facility is already at the point of treatment.</w:t>
      </w:r>
      <w:r>
        <w:t xml:space="preserve"> </w:t>
      </w:r>
      <w:r>
        <w:t xml:space="preserve">In both cases case-finding and treatment coverage are distinct measures, and performance on one</w:t>
      </w:r>
      <w:r>
        <w:t xml:space="preserve"> </w:t>
      </w:r>
      <w:r>
        <w:t xml:space="preserve">is uninformative about the other.</w:t>
      </w:r>
    </w:p>
    <w:bookmarkEnd w:id="10"/>
    <w:bookmarkStart w:id="11" w:name="caveats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1"/>
        </w:numPr>
      </w:pPr>
      <w:r>
        <w:t xml:space="preserve">Simplified protocols are not indicated across the caseload. Among children with mid-upper arm</w:t>
      </w:r>
      <w:r>
        <w:t xml:space="preserve"> </w:t>
      </w:r>
      <w:r>
        <w:t xml:space="preserve">circumference below 115 mm or nutritional oedema, the</w:t>
      </w:r>
      <w:r>
        <w:t xml:space="preserve"> </w:t>
      </w:r>
      <w:r>
        <w:rPr>
          <w:b/>
          <w:bCs/>
        </w:rPr>
        <w:t xml:space="preserve">standard protocol achieved higher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t xml:space="preserve">, driven by attendance rather than by mortality or growth.</w:t>
      </w:r>
    </w:p>
    <w:p>
      <w:pPr>
        <w:pStyle w:val="Compact"/>
        <w:numPr>
          <w:ilvl w:val="0"/>
          <w:numId w:val="1001"/>
        </w:numPr>
      </w:pPr>
      <w:r>
        <w:t xml:space="preserve">Cash transfers add materially to the cost per child — the DRC transfer was US$240 against a</w:t>
      </w:r>
      <w:r>
        <w:t xml:space="preserve"> </w:t>
      </w:r>
      <w:r>
        <w:t xml:space="preserve">treatment cost of roughly US$200–300. Generalisable cost-effectiveness is not established; the</w:t>
      </w:r>
      <w:r>
        <w:t xml:space="preserve"> </w:t>
      </w:r>
      <w:r>
        <w:t xml:space="preserve">trial itself did not cost the intervention.</w:t>
      </w:r>
    </w:p>
    <w:p>
      <w:pPr>
        <w:pStyle w:val="Compact"/>
        <w:numPr>
          <w:ilvl w:val="0"/>
          <w:numId w:val="1001"/>
        </w:numPr>
      </w:pPr>
      <w:r>
        <w:t xml:space="preserve">Decentralisation is not inherently cheaper. In Pakistan, community health worker delivery cost</w:t>
      </w:r>
      <w:r>
        <w:t xml:space="preserve"> </w:t>
      </w:r>
      <w:r>
        <w:t xml:space="preserve">marginally less per child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($291 against $301) and more per child</w:t>
      </w:r>
      <w:r>
        <w:t xml:space="preserve"> </w:t>
      </w:r>
      <w:r>
        <w:rPr>
          <w:i/>
          <w:iCs/>
        </w:rPr>
        <w:t xml:space="preserve">recovered</w:t>
      </w:r>
      <w:r>
        <w:t xml:space="preserve"> </w:t>
      </w:r>
      <w:r>
        <w:t xml:space="preserve">($382</w:t>
      </w:r>
      <w:r>
        <w:t xml:space="preserve"> </w:t>
      </w:r>
      <w:r>
        <w:t xml:space="preserve">against $363), alongside lower recovery (76% against 83%). The authors tested neither</w:t>
      </w:r>
      <w:r>
        <w:t xml:space="preserve"> </w:t>
      </w:r>
      <w:r>
        <w:t xml:space="preserve">difference and report</w:t>
      </w:r>
      <w:r>
        <w:t xml:space="preserve"> </w:t>
      </w:r>
      <w:r>
        <w:t xml:space="preserve">“considerable uncertainty in which strategy was most cost-effective”</w:t>
      </w:r>
      <w:r>
        <w:t xml:space="preserve">.</w:t>
      </w:r>
    </w:p>
    <w:bookmarkEnd w:id="11"/>
    <w:bookmarkStart w:id="12" w:name="opportunities-in-government-adoption"/>
    <w:p>
      <w:pPr>
        <w:pStyle w:val="Heading2"/>
      </w:pPr>
      <w:r>
        <w:t xml:space="preserve">Opportunities in government adoption</w:t>
      </w:r>
    </w:p>
    <w:p>
      <w:pPr>
        <w:pStyle w:val="Compact"/>
        <w:numPr>
          <w:ilvl w:val="0"/>
          <w:numId w:val="1002"/>
        </w:numPr>
      </w:pPr>
      <w:r>
        <w:t xml:space="preserve">Extend supply chains</w:t>
      </w:r>
      <w:r>
        <w:t xml:space="preserve"> </w:t>
      </w:r>
      <w:r>
        <w:rPr>
          <w:b/>
          <w:bCs/>
        </w:rPr>
        <w:t xml:space="preserve">past the health facility to community health workers</w:t>
      </w:r>
      <w:r>
        <w:t xml:space="preserve">, so the commodity</w:t>
      </w:r>
      <w:r>
        <w:t xml:space="preserve"> </w:t>
      </w:r>
      <w:r>
        <w:t xml:space="preserve">reaches the point at which treatment now occurs.</w:t>
      </w:r>
    </w:p>
    <w:p>
      <w:pPr>
        <w:pStyle w:val="Compact"/>
        <w:numPr>
          <w:ilvl w:val="0"/>
          <w:numId w:val="1002"/>
        </w:numPr>
      </w:pPr>
      <w:r>
        <w:t xml:space="preserve">Retrain frontline workers on the simplified protocol, retaining the standard protocol for</w:t>
      </w:r>
      <w:r>
        <w:t xml:space="preserve"> </w:t>
      </w:r>
      <w:r>
        <w:t xml:space="preserve">severe cases.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case-finding and treatment coverage as separate indicators.</w:t>
      </w:r>
      <w:r>
        <w:t xml:space="preserve"> </w:t>
      </w:r>
      <w:r>
        <w:t xml:space="preserve">A single coverage target</w:t>
      </w:r>
      <w:r>
        <w:t xml:space="preserve"> </w:t>
      </w:r>
      <w:r>
        <w:t xml:space="preserve">conceals the failure point.</w:t>
      </w:r>
    </w:p>
    <w:p>
      <w:pPr>
        <w:pStyle w:val="Compact"/>
        <w:numPr>
          <w:ilvl w:val="0"/>
          <w:numId w:val="1002"/>
        </w:numPr>
      </w:pPr>
      <w:r>
        <w:t xml:space="preserve">Where budgets permit, add post-discharge cash transfers.</w:t>
      </w:r>
    </w:p>
    <w:p>
      <w:pPr>
        <w:pStyle w:val="FirstParagraph"/>
      </w:pPr>
      <w:r>
        <w:rPr>
          <w:i/>
          <w:iCs/>
        </w:rPr>
        <w:t xml:space="preserve">A flag for policy makers:</w:t>
      </w:r>
      <w:r>
        <w:t xml:space="preserve"> </w:t>
      </w:r>
      <w:r>
        <w:t xml:space="preserve">simplified protocols operate</w:t>
      </w:r>
      <w:r>
        <w:t xml:space="preserve"> </w:t>
      </w:r>
      <w:r>
        <w:rPr>
          <w:b/>
          <w:bCs/>
        </w:rPr>
        <w:t xml:space="preserve">ahead of current WHO guidance</w:t>
      </w:r>
      <w:r>
        <w:t xml:space="preserve">, which</w:t>
      </w:r>
      <w:r>
        <w:t xml:space="preserve"> </w:t>
      </w:r>
      <w:r>
        <w:t xml:space="preserve">retains weight-indexed dosing. That position is defensible and fundable, but better raised early</w:t>
      </w:r>
      <w:r>
        <w:t xml:space="preserve"> </w:t>
      </w:r>
      <w:r>
        <w:t xml:space="preserve">than discovered late.</w:t>
      </w:r>
    </w:p>
    <w:bookmarkEnd w:id="12"/>
    <w:bookmarkStart w:id="13" w:name="countries-to-focus"/>
    <w:p>
      <w:pPr>
        <w:pStyle w:val="Heading2"/>
      </w:pPr>
      <w:r>
        <w:t xml:space="preserve">Countries to focus</w:t>
      </w:r>
    </w:p>
    <w:p>
      <w:pPr>
        <w:pStyle w:val="FirstParagraph"/>
      </w:pPr>
      <w:r>
        <w:rPr>
          <w:b/>
          <w:bCs/>
        </w:rPr>
        <w:t xml:space="preserve">India</w:t>
      </w:r>
      <w:r>
        <w:t xml:space="preserve"> </w:t>
      </w:r>
      <w:r>
        <w:t xml:space="preserve">(18.7% wasting) is the largest single concentration globally and has a functioning</w:t>
      </w:r>
      <w:r>
        <w:t xml:space="preserve"> </w:t>
      </w:r>
      <w:r>
        <w:t xml:space="preserve">routine system to build on.</w:t>
      </w:r>
      <w:r>
        <w:t xml:space="preserve"> </w:t>
      </w:r>
      <w:r>
        <w:rPr>
          <w:b/>
          <w:bCs/>
        </w:rPr>
        <w:t xml:space="preserve">Yemen, Sudan, Nigeria, Niger, Bangladesh and Burkina Faso</w:t>
      </w:r>
      <w:r>
        <w:t xml:space="preserve"> </w:t>
      </w:r>
      <w:r>
        <w:t xml:space="preserve">carry</w:t>
      </w:r>
      <w:r>
        <w:t xml:space="preserve"> </w:t>
      </w:r>
      <w:r>
        <w:t xml:space="preserve">the second concentration, where caseloads surge episodically and simplified protocols have most</w:t>
      </w:r>
      <w:r>
        <w:t xml:space="preserve"> </w:t>
      </w:r>
      <w:r>
        <w:t xml:space="preserve">to offer. Sudan’s figure dates from 2014, before the current conflict, and understates the</w:t>
      </w:r>
      <w:r>
        <w:t xml:space="preserve"> </w:t>
      </w:r>
      <w:r>
        <w:t xml:space="preserve">current position.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kangaroo-mother-care"/>
    <w:p>
      <w:pPr>
        <w:pStyle w:val="Heading1"/>
      </w:pPr>
      <w:r>
        <w:t xml:space="preserve">2. Kangaroo mother care</w:t>
      </w:r>
    </w:p>
    <w:bookmarkStart w:id="15" w:name="the-problem-1"/>
    <w:p>
      <w:pPr>
        <w:pStyle w:val="Heading2"/>
      </w:pPr>
      <w:r>
        <w:t xml:space="preserve">The problem</w:t>
      </w:r>
    </w:p>
    <w:p>
      <w:pPr>
        <w:pStyle w:val="FirstParagraph"/>
      </w:pPr>
      <w:r>
        <w:rPr>
          <w:b/>
          <w:bCs/>
        </w:rPr>
        <w:t xml:space="preserve">One infant in seven worldwide is born with low birthweight</w:t>
      </w:r>
      <w:r>
        <w:t xml:space="preserve"> </w:t>
      </w:r>
      <w:r>
        <w:t xml:space="preserve">— 19.8 million a year, and one in</w:t>
      </w:r>
      <w:r>
        <w:t xml:space="preserve"> </w:t>
      </w:r>
      <w:r>
        <w:t xml:space="preserve">four in South Asia. On a broader definition — preterm or small for gestational age, roughly one</w:t>
      </w:r>
      <w:r>
        <w:t xml:space="preserve"> </w:t>
      </w:r>
      <w:r>
        <w:t xml:space="preserve">birth in four —</w:t>
      </w:r>
      <w:r>
        <w:t xml:space="preserve"> </w:t>
      </w:r>
      <w:r>
        <w:rPr>
          <w:b/>
          <w:bCs/>
        </w:rPr>
        <w:t xml:space="preserve">55% of neonatal deaths</w:t>
      </w:r>
      <w:r>
        <w:t xml:space="preserve"> </w:t>
      </w:r>
      <w:r>
        <w:t xml:space="preserve">are attributable to infants born too small: about</w:t>
      </w:r>
      <w:r>
        <w:t xml:space="preserve"> </w:t>
      </w:r>
      <w:r>
        <w:rPr>
          <w:b/>
          <w:bCs/>
        </w:rPr>
        <w:t xml:space="preserve">1.3 million of the 2.4 million</w:t>
      </w:r>
      <w:r>
        <w:t xml:space="preserve"> </w:t>
      </w:r>
      <w:r>
        <w:t xml:space="preserve">neonatal deaths in 2020.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Low-birthweight and preterm infants thermoregulate poorly, feed inefficiently and</w:t>
      </w:r>
      <w:r>
        <w:t xml:space="preserve"> </w:t>
      </w:r>
      <w:r>
        <w:t xml:space="preserve">have impaired immune defence. The conventional response is incubator care, which is scarce,</w:t>
      </w:r>
      <w:r>
        <w:t xml:space="preserve"> </w:t>
      </w:r>
      <w:r>
        <w:t xml:space="preserve">costly and frequently unavailable where these births occur.</w:t>
      </w:r>
    </w:p>
    <w:bookmarkEnd w:id="15"/>
    <w:bookmarkStart w:id="16" w:name="the-solution-1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Kangaroo mother care — continuous skin-to-skin contact on the mother’s chest, 8 to 24 hours a</w:t>
      </w:r>
      <w:r>
        <w:rPr>
          <w:b/>
          <w:bCs/>
        </w:rPr>
        <w:t xml:space="preserve"> </w:t>
      </w:r>
      <w:r>
        <w:rPr>
          <w:b/>
          <w:bCs/>
        </w:rPr>
        <w:t xml:space="preserve">day, initiated as soon as possible after birth.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reduces mortality by 32%</w:t>
      </w:r>
      <w:r>
        <w:t xml:space="preserve"> </w:t>
      </w:r>
      <w:r>
        <w:t xml:space="preserve">among preterm</w:t>
      </w:r>
      <w:r>
        <w:t xml:space="preserve"> </w:t>
      </w:r>
      <w:r>
        <w:t xml:space="preserve">and low-birthweight infants, at high certainty.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Skin-to-skin contact substitutes for the incubator: it stabilises the infant’s</w:t>
      </w:r>
      <w:r>
        <w:t xml:space="preserve"> </w:t>
      </w:r>
      <w:r>
        <w:t xml:space="preserve">temperature, facilitates breastfeeding and reduces infection. No commodity, device or supply</w:t>
      </w:r>
      <w:r>
        <w:t xml:space="preserve"> </w:t>
      </w:r>
      <w:r>
        <w:t xml:space="preserve">chain is required.</w:t>
      </w:r>
    </w:p>
    <w:p>
      <w:pPr>
        <w:pStyle w:val="BodyText"/>
      </w:pPr>
      <w:r>
        <w:t xml:space="preserve">The 32% is kangaroo care against conventional care, irrespective of timing. Starting within 24</w:t>
      </w:r>
      <w:r>
        <w:t xml:space="preserve"> </w:t>
      </w:r>
      <w:r>
        <w:t xml:space="preserve">hours adds a further reduction against a later start (RR 0.77, 0.66–0.91, high certainty).</w:t>
      </w:r>
    </w:p>
    <w:p>
      <w:pPr>
        <w:pStyle w:val="BodyText"/>
      </w:pPr>
      <w:r>
        <w:rPr>
          <w:b/>
          <w:bCs/>
        </w:rPr>
        <w:t xml:space="preserve">What changed in 2022.</w:t>
      </w:r>
      <w:r>
        <w:t xml:space="preserve"> </w:t>
      </w:r>
      <w:r>
        <w:t xml:space="preserve">Kangaroo care was historically initiated only after clinical</w:t>
      </w:r>
      <w:r>
        <w:t xml:space="preserve"> </w:t>
      </w:r>
      <w:r>
        <w:t xml:space="preserve">stabilisation — in all but one trial in the pooled evidence base, infants were stabilised before</w:t>
      </w:r>
      <w:r>
        <w:t xml:space="preserve"> </w:t>
      </w:r>
      <w:r>
        <w:t xml:space="preserve">enrolment. A WHO multi-country trial of immediate initiation led WHO to revise its guidance in</w:t>
      </w:r>
      <w:r>
        <w:t xml:space="preserve"> </w:t>
      </w:r>
      <w:r>
        <w:t xml:space="preserve">2022 to</w:t>
      </w:r>
      <w:r>
        <w:t xml:space="preserve"> </w:t>
      </w:r>
      <w:r>
        <w:rPr>
          <w:b/>
          <w:bCs/>
        </w:rPr>
        <w:t xml:space="preserve">start as soon as possible after birth</w:t>
      </w:r>
      <w:r>
        <w:t xml:space="preserve">, a</w:t>
      </w:r>
      <w:r>
        <w:t xml:space="preserve"> </w:t>
      </w:r>
      <w:r>
        <w:rPr>
          <w:b/>
          <w:bCs/>
        </w:rPr>
        <w:t xml:space="preserve">strong recommendation on high-certainty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and the strongest normative backing of anything in this review. A subsequent trial in</w:t>
      </w:r>
      <w:r>
        <w:t xml:space="preserve"> </w:t>
      </w:r>
      <w:r>
        <w:t xml:space="preserve">Uganda (OMWaNA, 2,221 neonates) found</w:t>
      </w:r>
      <w:r>
        <w:t xml:space="preserve"> </w:t>
      </w:r>
      <w:r>
        <w:rPr>
          <w:b/>
          <w:bCs/>
        </w:rPr>
        <w:t xml:space="preserve">no reduction in early neonatal mortality</w:t>
      </w:r>
      <w:r>
        <w:t xml:space="preserve"> </w:t>
      </w:r>
      <w:r>
        <w:t xml:space="preserve">from starting</w:t>
      </w:r>
      <w:r>
        <w:t xml:space="preserve"> </w:t>
      </w:r>
      <w:r>
        <w:t xml:space="preserve">before stabilisation, so the case for immediate initiation is strong but not uncontested.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There is no commodity, but there is a set-up cost. The Uganda trial put ward readiness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$31,000–$96,000 per hospital in financial cost, or $45,000–$114,000 in economic cost</w:t>
      </w:r>
      <w:r>
        <w:t xml:space="preserve">, and</w:t>
      </w:r>
      <w:r>
        <w:t xml:space="preserve"> </w:t>
      </w:r>
      <w:r>
        <w:t xml:space="preserve">found that once operating, kangaroo care</w:t>
      </w:r>
      <w:r>
        <w:t xml:space="preserve"> </w:t>
      </w:r>
      <w:r>
        <w:rPr>
          <w:b/>
          <w:bCs/>
        </w:rPr>
        <w:t xml:space="preserve">reduced</w:t>
      </w:r>
      <w:r>
        <w:t xml:space="preserve"> </w:t>
      </w:r>
      <w:r>
        <w:t xml:space="preserve">the cost of newborn care to both providers</w:t>
      </w:r>
      <w:r>
        <w:t xml:space="preserve"> </w:t>
      </w:r>
      <w:r>
        <w:t xml:space="preserve">and households.</w:t>
      </w:r>
    </w:p>
    <w:bookmarkEnd w:id="16"/>
    <w:bookmarkStart w:id="17" w:name="caveats-1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3"/>
        </w:numPr>
      </w:pPr>
      <w:r>
        <w:t xml:space="preserve">The effect is measured in</w:t>
      </w:r>
      <w:r>
        <w:t xml:space="preserve"> </w:t>
      </w:r>
      <w:r>
        <w:rPr>
          <w:b/>
          <w:bCs/>
        </w:rPr>
        <w:t xml:space="preserve">preterm and low-birthweight infants</w:t>
      </w:r>
      <w:r>
        <w:t xml:space="preserve"> </w:t>
      </w:r>
      <w:r>
        <w:t xml:space="preserve">— approximately one birth in</w:t>
      </w:r>
      <w:r>
        <w:t xml:space="preserve"> </w:t>
      </w:r>
      <w:r>
        <w:t xml:space="preserve">seven. Applied to newborns generally, it overstates the eligible population roughly sevenfold.</w:t>
      </w:r>
    </w:p>
    <w:p>
      <w:pPr>
        <w:pStyle w:val="Compact"/>
        <w:numPr>
          <w:ilvl w:val="0"/>
          <w:numId w:val="1003"/>
        </w:numPr>
      </w:pPr>
      <w:r>
        <w:t xml:space="preserve">Cost per infant is minimal, but the intervention requires mother and infant to remain together</w:t>
      </w:r>
      <w:r>
        <w:t xml:space="preserve"> </w:t>
      </w:r>
      <w:r>
        <w:t xml:space="preserve">under clinical monitoring. That is a ward reconfiguration, and it is where the expenditure sits.</w:t>
      </w:r>
    </w:p>
    <w:bookmarkEnd w:id="17"/>
    <w:bookmarkStart w:id="18" w:name="opportunities-in-government-adoption-1"/>
    <w:p>
      <w:pPr>
        <w:pStyle w:val="Heading2"/>
      </w:pPr>
      <w:r>
        <w:t xml:space="preserve">Opportunities in government adoption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initiation into facility delivery protocols, replacing initiation after</w:t>
      </w:r>
      <w:r>
        <w:t xml:space="preserve"> </w:t>
      </w:r>
      <w:r>
        <w:t xml:space="preserve">stabilisation.</w:t>
      </w:r>
    </w:p>
    <w:p>
      <w:pPr>
        <w:pStyle w:val="Compact"/>
        <w:numPr>
          <w:ilvl w:val="0"/>
          <w:numId w:val="1004"/>
        </w:numPr>
      </w:pPr>
      <w:r>
        <w:t xml:space="preserve">Fund the ward changes that allow mothers to remain with their infants: space, beds, staffing.</w:t>
      </w:r>
    </w:p>
    <w:p>
      <w:pPr>
        <w:pStyle w:val="Compact"/>
        <w:numPr>
          <w:ilvl w:val="0"/>
          <w:numId w:val="1004"/>
        </w:numPr>
      </w:pPr>
      <w:r>
        <w:t xml:space="preserve">Invest in staff training and supervision, since uptake depends on personnel rather than</w:t>
      </w:r>
      <w:r>
        <w:t xml:space="preserve"> </w:t>
      </w:r>
      <w:r>
        <w:t xml:space="preserve">equipment.</w:t>
      </w:r>
    </w:p>
    <w:bookmarkEnd w:id="18"/>
    <w:bookmarkStart w:id="19" w:name="countries-to-focus-1"/>
    <w:p>
      <w:pPr>
        <w:pStyle w:val="Heading2"/>
      </w:pPr>
      <w:r>
        <w:t xml:space="preserve">Countries to focus</w:t>
      </w:r>
    </w:p>
    <w:p>
      <w:pPr>
        <w:pStyle w:val="FirstParagraph"/>
      </w:pPr>
      <w:r>
        <w:rPr>
          <w:b/>
          <w:bCs/>
        </w:rPr>
        <w:t xml:space="preserve">South Asia</w:t>
      </w:r>
      <w:r>
        <w:t xml:space="preserve">, decisively. Low birthweight is highest there (24.8%), facility delivery is</w:t>
      </w:r>
      <w:r>
        <w:t xml:space="preserve"> </w:t>
      </w:r>
      <w:r>
        <w:t xml:space="preserve">rising, and the intervention reaches only facility births. The IGAD countries of the Horn of</w:t>
      </w:r>
      <w:r>
        <w:t xml:space="preserve"> </w:t>
      </w:r>
      <w:r>
        <w:t xml:space="preserve">Africa sit at 14.6%, close to the global average, with lower facility delivery coverage.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5e1c9b84d42ad34197d4617244334242d3ebae1"/>
    <w:p>
      <w:pPr>
        <w:pStyle w:val="Heading1"/>
      </w:pPr>
      <w:r>
        <w:t xml:space="preserve">3. Antenatal multiple micronutrient supplements (MMS)</w:t>
      </w:r>
    </w:p>
    <w:bookmarkStart w:id="21" w:name="the-problem-2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In most low- and middle-income countries, antenatal care provides</w:t>
      </w:r>
      <w:r>
        <w:t xml:space="preserve"> </w:t>
      </w:r>
      <w:r>
        <w:rPr>
          <w:b/>
          <w:bCs/>
        </w:rPr>
        <w:t xml:space="preserve">iron and folic acid — two</w:t>
      </w:r>
      <w:r>
        <w:rPr>
          <w:b/>
          <w:bCs/>
        </w:rPr>
        <w:t xml:space="preserve"> </w:t>
      </w:r>
      <w:r>
        <w:rPr>
          <w:b/>
          <w:bCs/>
        </w:rPr>
        <w:t xml:space="preserve">nutrients</w:t>
      </w:r>
      <w:r>
        <w:t xml:space="preserve">. Women in these settings are typically deficient in considerably more.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Micronutrient shortfall in pregnancy restricts fetal growth. The result is low</w:t>
      </w:r>
      <w:r>
        <w:t xml:space="preserve"> </w:t>
      </w:r>
      <w:r>
        <w:t xml:space="preserve">birthweight, which raises neonatal mortality risk and carries durable consequences for health</w:t>
      </w:r>
      <w:r>
        <w:t xml:space="preserve"> </w:t>
      </w:r>
      <w:r>
        <w:t xml:space="preserve">and earnings.</w:t>
      </w:r>
    </w:p>
    <w:bookmarkEnd w:id="21"/>
    <w:bookmarkStart w:id="22" w:name="the-solution-2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Substitute a multiple micronutrient supplement for iron-folic acid — 15 nutrients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2, through the same tablet, visit and channel.</w:t>
      </w:r>
      <w:r>
        <w:t xml:space="preserve"> </w:t>
      </w:r>
      <w:r>
        <w:t xml:space="preserve">It reduces</w:t>
      </w:r>
      <w:r>
        <w:t xml:space="preserve"> </w:t>
      </w:r>
      <w:r>
        <w:rPr>
          <w:b/>
          <w:bCs/>
        </w:rPr>
        <w:t xml:space="preserve">low birthweight by 12%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small-for-gestational-age births by 8%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It corrects more of the underlying deficiency. Effects are largest in</w:t>
      </w:r>
      <w:r>
        <w:t xml:space="preserve"> </w:t>
      </w:r>
      <w:r>
        <w:rPr>
          <w:b/>
          <w:bCs/>
        </w:rPr>
        <w:t xml:space="preserve">anaemic and</w:t>
      </w:r>
      <w:r>
        <w:rPr>
          <w:b/>
          <w:bCs/>
        </w:rPr>
        <w:t xml:space="preserve"> </w:t>
      </w:r>
      <w:r>
        <w:rPr>
          <w:b/>
          <w:bCs/>
        </w:rPr>
        <w:t xml:space="preserve">underweight women</w:t>
      </w:r>
      <w:r>
        <w:t xml:space="preserve">, consistent with a nutrient-shortfall mechanism: benefit scales with baseline</w:t>
      </w:r>
      <w:r>
        <w:t xml:space="preserve"> </w:t>
      </w:r>
      <w:r>
        <w:t xml:space="preserve">deficiency.</w:t>
      </w:r>
    </w:p>
    <w:p>
      <w:pPr>
        <w:pStyle w:val="BodyText"/>
      </w:pPr>
      <w:r>
        <w:rPr>
          <w:b/>
          <w:bCs/>
        </w:rPr>
        <w:t xml:space="preserve">Adoption is unusually straightforward.</w:t>
      </w:r>
      <w:r>
        <w:t xml:space="preserve"> </w:t>
      </w:r>
      <w:r>
        <w:t xml:space="preserve">The commodity substitutes into an existing channel. No</w:t>
      </w:r>
      <w:r>
        <w:t xml:space="preserve"> </w:t>
      </w:r>
      <w:r>
        <w:t xml:space="preserve">new service, visit or cadre is required, and production cost is approximately half a US cent</w:t>
      </w:r>
      <w:r>
        <w:t xml:space="preserve"> </w:t>
      </w:r>
      <w:r>
        <w:t xml:space="preserve">higher per tablet.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Procurement runs roughly</w:t>
      </w:r>
      <w:r>
        <w:t xml:space="preserve"> </w:t>
      </w:r>
      <w:r>
        <w:rPr>
          <w:b/>
          <w:bCs/>
        </w:rPr>
        <w:t xml:space="preserve">$2.00 per pregnancy for iron-folic acid against $3.42 for</w:t>
      </w:r>
      <w:r>
        <w:rPr>
          <w:b/>
          <w:bCs/>
        </w:rPr>
        <w:t xml:space="preserve"> </w:t>
      </w:r>
      <w:r>
        <w:rPr>
          <w:b/>
          <w:bCs/>
        </w:rPr>
        <w:t xml:space="preserve">MMS</w:t>
      </w:r>
      <w:r>
        <w:t xml:space="preserve">. A fixed budget therefore covers fewer women, so the appropriate measure is cost per case</w:t>
      </w:r>
      <w:r>
        <w:t xml:space="preserve"> </w:t>
      </w:r>
      <w:r>
        <w:t xml:space="preserve">averted: on our arithmetic, approximately</w:t>
      </w:r>
      <w:r>
        <w:t xml:space="preserve"> </w:t>
      </w:r>
      <w:r>
        <w:rPr>
          <w:b/>
          <w:bCs/>
        </w:rPr>
        <w:t xml:space="preserve">$48 per low-birthweight birth averted</w:t>
      </w:r>
      <w:r>
        <w:t xml:space="preserve"> </w:t>
      </w:r>
      <w:r>
        <w:t xml:space="preserve">in South Asia</w:t>
      </w:r>
      <w:r>
        <w:t xml:space="preserve"> </w:t>
      </w:r>
      <w:r>
        <w:t xml:space="preserve">on the commodity gap alone. The published cost-effectiveness estimates are $21–42 per DALY</w:t>
      </w:r>
      <w:r>
        <w:t xml:space="preserve"> </w:t>
      </w:r>
      <w:r>
        <w:t xml:space="preserve">averted across Bangladesh, India and Pakistan.</w:t>
      </w:r>
    </w:p>
    <w:bookmarkEnd w:id="22"/>
    <w:bookmarkStart w:id="23" w:name="caveats-2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5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evidence that MMS reduces mortality</w:t>
      </w:r>
      <w:r>
        <w:t xml:space="preserve">. Neonatal and perinatal mortality show no</w:t>
      </w:r>
      <w:r>
        <w:t xml:space="preserve"> </w:t>
      </w:r>
      <w:r>
        <w:t xml:space="preserve">effect at high certainty. Maternal mortality is a wide, uninformative null (RR 1.06, 0.72–1.54)</w:t>
      </w:r>
      <w:r>
        <w:t xml:space="preserve"> </w:t>
      </w:r>
      <w:r>
        <w:t xml:space="preserve">that Cochrane did not grade and WHO graded low certainty. MMS increases birth size; it does not</w:t>
      </w:r>
      <w:r>
        <w:t xml:space="preserve"> </w:t>
      </w:r>
      <w:r>
        <w:t xml:space="preserve">demonstrably improve survival.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iron-folic acid remains WHO’s recommended standard of care.</w:t>
      </w:r>
      <w:r>
        <w:t xml:space="preserve"> </w:t>
      </w:r>
      <w:r>
        <w:t xml:space="preserve">MMS is recommended in the</w:t>
      </w:r>
      <w:r>
        <w:t xml:space="preserve"> </w:t>
      </w:r>
      <w:r>
        <w:t xml:space="preserve">context of rigorous research.</w:t>
      </w:r>
    </w:p>
    <w:bookmarkEnd w:id="23"/>
    <w:bookmarkStart w:id="24" w:name="opportunities-in-government-adoption-2"/>
    <w:p>
      <w:pPr>
        <w:pStyle w:val="Heading2"/>
      </w:pPr>
      <w:r>
        <w:t xml:space="preserve">Opportunities in government adoption</w:t>
      </w:r>
    </w:p>
    <w:p>
      <w:pPr>
        <w:pStyle w:val="Compact"/>
        <w:numPr>
          <w:ilvl w:val="0"/>
          <w:numId w:val="1006"/>
        </w:numPr>
      </w:pPr>
      <w:r>
        <w:t xml:space="preserve">Substitute MMS for iron-folic acid in routine antenatal care.</w:t>
      </w:r>
    </w:p>
    <w:p>
      <w:pPr>
        <w:pStyle w:val="Compact"/>
        <w:numPr>
          <w:ilvl w:val="0"/>
          <w:numId w:val="1006"/>
        </w:numPr>
      </w:pPr>
      <w:r>
        <w:t xml:space="preserve">Secure inclusion on the</w:t>
      </w:r>
      <w:r>
        <w:t xml:space="preserve"> </w:t>
      </w:r>
      <w:r>
        <w:rPr>
          <w:b/>
          <w:bCs/>
        </w:rPr>
        <w:t xml:space="preserve">national essential medicines list</w:t>
      </w:r>
      <w:r>
        <w:t xml:space="preserve"> </w:t>
      </w:r>
      <w:r>
        <w:t xml:space="preserve">— the single highest-value</w:t>
      </w:r>
      <w:r>
        <w:t xml:space="preserve"> </w:t>
      </w:r>
      <w:r>
        <w:t xml:space="preserve">advocacy step.</w:t>
      </w:r>
    </w:p>
    <w:p>
      <w:pPr>
        <w:pStyle w:val="Compact"/>
        <w:numPr>
          <w:ilvl w:val="0"/>
          <w:numId w:val="1006"/>
        </w:numPr>
      </w:pPr>
      <w:r>
        <w:t xml:space="preserve">Strengthen stock management. Implementation research across four countries found sustaining</w:t>
      </w:r>
      <w:r>
        <w:t xml:space="preserve"> </w:t>
      </w:r>
      <w:r>
        <w:t xml:space="preserve">MMS supply</w:t>
      </w:r>
      <w:r>
        <w:t xml:space="preserve"> </w:t>
      </w:r>
      <w:r>
        <w:t xml:space="preserve">“one of the most challenging aspects”</w:t>
      </w:r>
      <w:r>
        <w:t xml:space="preserve"> </w:t>
      </w:r>
      <w:r>
        <w:t xml:space="preserve">of the programme as a whole.</w:t>
      </w:r>
    </w:p>
    <w:p>
      <w:pPr>
        <w:pStyle w:val="Compact"/>
        <w:numPr>
          <w:ilvl w:val="0"/>
          <w:numId w:val="1006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adherence across the pregnancy</w:t>
      </w:r>
      <w:r>
        <w:t xml:space="preserve"> </w:t>
      </w:r>
      <w:r>
        <w:t xml:space="preserve">rather than attendance at first antenatal contact.</w:t>
      </w:r>
    </w:p>
    <w:p>
      <w:pPr>
        <w:pStyle w:val="FirstParagraph"/>
      </w:pPr>
      <w:r>
        <w:rPr>
          <w:i/>
          <w:iCs/>
        </w:rPr>
        <w:t xml:space="preserve">An asset worth using:</w:t>
      </w:r>
      <w:r>
        <w:t xml:space="preserve"> </w:t>
      </w:r>
      <w:r>
        <w:t xml:space="preserve">women report preferring MMS to iron-folic acid and experiencing fewer</w:t>
      </w:r>
      <w:r>
        <w:t xml:space="preserve"> </w:t>
      </w:r>
      <w:r>
        <w:t xml:space="preserve">side effects — the strongest adherence advantage identified in this review.</w:t>
      </w:r>
    </w:p>
    <w:bookmarkEnd w:id="24"/>
    <w:bookmarkStart w:id="25" w:name="countries-to-focus-2"/>
    <w:p>
      <w:pPr>
        <w:pStyle w:val="Heading2"/>
      </w:pPr>
      <w:r>
        <w:t xml:space="preserve">Countries to focus</w:t>
      </w:r>
    </w:p>
    <w:p>
      <w:pPr>
        <w:pStyle w:val="FirstParagraph"/>
      </w:pPr>
      <w:r>
        <w:rPr>
          <w:b/>
          <w:bCs/>
        </w:rPr>
        <w:t xml:space="preserve">South Asia</w:t>
      </w:r>
      <w:r>
        <w:t xml:space="preserve"> </w:t>
      </w:r>
      <w:r>
        <w:t xml:space="preserve">is the cleanest match: the only case in which absolute burden and relative benefit</w:t>
      </w:r>
      <w:r>
        <w:t xml:space="preserve"> </w:t>
      </w:r>
      <w:r>
        <w:t xml:space="preserve">point to the same geography. Beyond that, high-anaemia settings generally.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reastfeeding-support"/>
    <w:p>
      <w:pPr>
        <w:pStyle w:val="Heading1"/>
      </w:pPr>
      <w:r>
        <w:t xml:space="preserve">4. Breastfeeding support</w:t>
      </w:r>
    </w:p>
    <w:bookmarkStart w:id="27" w:name="the-problem-3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Global exclusive breastfeeding stands at 48% against a 2025 target of 50% and a 2030 target of</w:t>
      </w:r>
      <w:r>
        <w:t xml:space="preserve"> </w:t>
      </w:r>
      <w:r>
        <w:t xml:space="preserve">60% — close to the near-term target in aggregate, but with wide variation between and within</w:t>
      </w:r>
      <w:r>
        <w:t xml:space="preserve"> </w:t>
      </w:r>
      <w:r>
        <w:t xml:space="preserve">countries. Attrition concentrates in the months after birth.</w:t>
      </w:r>
    </w:p>
    <w:bookmarkEnd w:id="27"/>
    <w:bookmarkStart w:id="28" w:name="the-solution-3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A scheduled sequence of contacts, rather than a promotional message.</w:t>
      </w:r>
      <w:r>
        <w:t xml:space="preserve"> </w:t>
      </w:r>
      <w:r>
        <w:t xml:space="preserve">Across 116 trials,</w:t>
      </w:r>
      <w:r>
        <w:t xml:space="preserve"> </w:t>
      </w:r>
      <w:r>
        <w:t xml:space="preserve">breastfeeding support</w:t>
      </w:r>
      <w:r>
        <w:t xml:space="preserve"> </w:t>
      </w:r>
      <w:r>
        <w:rPr>
          <w:b/>
          <w:bCs/>
        </w:rPr>
        <w:t xml:space="preserve">probably reduces</w:t>
      </w:r>
      <w:r>
        <w:t xml:space="preserve"> </w:t>
      </w:r>
      <w:r>
        <w:t xml:space="preserve">cessation of exclusive breastfeeding at four to six</w:t>
      </w:r>
      <w:r>
        <w:t xml:space="preserve"> </w:t>
      </w:r>
      <w:r>
        <w:t xml:space="preserve">weeks and at six months (moderate certainty). Cochrane reports that an intermediate intensity —</w:t>
      </w:r>
      <w:r>
        <w:t xml:space="preserve"> </w:t>
      </w:r>
      <w:r>
        <w:t xml:space="preserve">four to eight visits —</w:t>
      </w:r>
      <w:r>
        <w:t xml:space="preserve"> </w:t>
      </w:r>
      <w:r>
        <w:rPr>
          <w:b/>
          <w:bCs/>
        </w:rPr>
        <w:t xml:space="preserve">may be</w:t>
      </w:r>
      <w:r>
        <w:t xml:space="preserve"> </w:t>
      </w:r>
      <w:r>
        <w:t xml:space="preserve">the most beneficial; this is the middle category of three, not</w:t>
      </w:r>
      <w:r>
        <w:t xml:space="preserve"> </w:t>
      </w:r>
      <w:r>
        <w:t xml:space="preserve">a demonstrated dose-response.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Breastfeeding fails for practical and tractable reasons — pain, perceived</w:t>
      </w:r>
      <w:r>
        <w:t xml:space="preserve"> </w:t>
      </w:r>
      <w:r>
        <w:t xml:space="preserve">insufficient supply, family pressure, return to work. These require repeated problem-solving at</w:t>
      </w:r>
      <w:r>
        <w:t xml:space="preserve"> </w:t>
      </w:r>
      <w:r>
        <w:t xml:space="preserve">the point they arise, which is why contact frequency predicts success and single-contact</w:t>
      </w:r>
      <w:r>
        <w:t xml:space="preserve"> </w:t>
      </w:r>
      <w:r>
        <w:t xml:space="preserve">messaging does not.</w:t>
      </w:r>
    </w:p>
    <w:p>
      <w:pPr>
        <w:pStyle w:val="BodyText"/>
      </w:pPr>
      <w:r>
        <w:rPr>
          <w:b/>
          <w:bCs/>
        </w:rPr>
        <w:t xml:space="preserve">Cadre is not the determinant.</w:t>
      </w:r>
      <w:r>
        <w:t xml:space="preserve"> </w:t>
      </w:r>
      <w:r>
        <w:t xml:space="preserve">Across 116 trials there was no differential effect by provider</w:t>
      </w:r>
      <w:r>
        <w:t xml:space="preserve"> </w:t>
      </w:r>
      <w:r>
        <w:t xml:space="preserve">— professional, peer or combined — though the review notes power was limited for that comparison.</w:t>
      </w:r>
    </w:p>
    <w:p>
      <w:pPr>
        <w:pStyle w:val="BodyText"/>
      </w:pPr>
      <w:r>
        <w:rPr>
          <w:b/>
          <w:bCs/>
        </w:rPr>
        <w:t xml:space="preserve">It works at scale, through either channel.</w:t>
      </w:r>
      <w:r>
        <w:t xml:space="preserve"> </w:t>
      </w:r>
      <w:r>
        <w:t xml:space="preserve">The Alive &amp; Thrive programme raised exclusive</w:t>
      </w:r>
      <w:r>
        <w:t xml:space="preserve"> </w:t>
      </w:r>
      <w:r>
        <w:t xml:space="preserve">breastfeeding by</w:t>
      </w:r>
      <w:r>
        <w:t xml:space="preserve"> </w:t>
      </w:r>
      <w:r>
        <w:rPr>
          <w:b/>
          <w:bCs/>
        </w:rPr>
        <w:t xml:space="preserve">36 percentage points in Bangladesh and 28 in Viet Nam</w:t>
      </w:r>
      <w:r>
        <w:t xml:space="preserve"> </w:t>
      </w:r>
      <w:r>
        <w:t xml:space="preserve">— the Viet Nam</w:t>
      </w:r>
      <w:r>
        <w:t xml:space="preserve"> </w:t>
      </w:r>
      <w:r>
        <w:t xml:space="preserve">estimate falling to about 15 points once the authors adjust for social-desirability bias —</w:t>
      </w:r>
      <w:r>
        <w:t xml:space="preserve"> </w:t>
      </w:r>
      <w:r>
        <w:t xml:space="preserve">delivered through an NGO network in one country and government health facilities in the other.</w:t>
      </w:r>
      <w:r>
        <w:t xml:space="preserve"> </w:t>
      </w:r>
      <w:r>
        <w:t xml:space="preserve">The programme combined intensive counselling with mass media, community mobilisation and policy</w:t>
      </w:r>
      <w:r>
        <w:t xml:space="preserve"> </w:t>
      </w:r>
      <w:r>
        <w:t xml:space="preserve">advocacy; it was not counselling alone. No study randomised the channel, so this is suggestive</w:t>
      </w:r>
      <w:r>
        <w:t xml:space="preserve"> </w:t>
      </w:r>
      <w:r>
        <w:t xml:space="preserve">rather than proof that a government-anchored version performs equivalently.</w:t>
      </w:r>
    </w:p>
    <w:bookmarkEnd w:id="28"/>
    <w:bookmarkStart w:id="29" w:name="caveats-3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7"/>
        </w:numPr>
      </w:pPr>
      <w:r>
        <w:t xml:space="preserve">There is no evidence that breastfeeding support reduces neonatal mortality</w:t>
      </w:r>
      <w:r>
        <w:t xml:space="preserve"> </w:t>
      </w:r>
      <w:r>
        <w:rPr>
          <w:b/>
          <w:bCs/>
        </w:rPr>
        <w:t xml:space="preserve">in isolation</w:t>
      </w:r>
      <w:r>
        <w:t xml:space="preserve">.</w:t>
      </w:r>
      <w:r>
        <w:t xml:space="preserve"> </w:t>
      </w:r>
      <w:r>
        <w:t xml:space="preserve">The mortality evidence derives from multi-component packages — women’s groups, home visits,</w:t>
      </w:r>
      <w:r>
        <w:t xml:space="preserve"> </w:t>
      </w:r>
      <w:r>
        <w:t xml:space="preserve">birth-attendant training — in which breastfeeding support is one element. Its individual</w:t>
      </w:r>
      <w:r>
        <w:t xml:space="preserve"> </w:t>
      </w:r>
      <w:r>
        <w:t xml:space="preserve">contribution cannot be separated.</w:t>
      </w:r>
    </w:p>
    <w:p>
      <w:pPr>
        <w:pStyle w:val="Compact"/>
        <w:numPr>
          <w:ilvl w:val="0"/>
          <w:numId w:val="1007"/>
        </w:numPr>
      </w:pPr>
      <w:r>
        <w:t xml:space="preserve">The distinction matters. The evidence on</w:t>
      </w:r>
      <w:r>
        <w:t xml:space="preserve"> </w:t>
      </w:r>
      <w:r>
        <w:rPr>
          <w:b/>
          <w:bCs/>
        </w:rPr>
        <w:t xml:space="preserve">improving breastfeeding practice</w:t>
      </w:r>
      <w:r>
        <w:t xml:space="preserve"> </w:t>
      </w:r>
      <w:r>
        <w:t xml:space="preserve">is robust; the</w:t>
      </w:r>
      <w:r>
        <w:t xml:space="preserve"> </w:t>
      </w:r>
      <w:r>
        <w:t xml:space="preserve">evidence attributing a</w:t>
      </w:r>
      <w:r>
        <w:t xml:space="preserve"> </w:t>
      </w:r>
      <w:r>
        <w:rPr>
          <w:b/>
          <w:bCs/>
        </w:rPr>
        <w:t xml:space="preserve">mortality reduction</w:t>
      </w:r>
      <w:r>
        <w:t xml:space="preserve"> </w:t>
      </w:r>
      <w:r>
        <w:t xml:space="preserve">to breastfeeding support alone does not exist.</w:t>
      </w:r>
      <w:r>
        <w:t xml:space="preserve"> </w:t>
      </w:r>
      <w:r>
        <w:t xml:space="preserve">Only the second is a genuine gap.</w:t>
      </w:r>
    </w:p>
    <w:bookmarkEnd w:id="29"/>
    <w:bookmarkStart w:id="30" w:name="opportunities-in-government-adoption-3"/>
    <w:p>
      <w:pPr>
        <w:pStyle w:val="Heading2"/>
      </w:pPr>
      <w:r>
        <w:t xml:space="preserve">Opportunities in government adoption</w:t>
      </w:r>
    </w:p>
    <w:p>
      <w:pPr>
        <w:pStyle w:val="Compact"/>
        <w:numPr>
          <w:ilvl w:val="0"/>
          <w:numId w:val="1008"/>
        </w:numPr>
      </w:pPr>
      <w:r>
        <w:t xml:space="preserve">Replace general breastfeeding promotion with a</w:t>
      </w:r>
      <w:r>
        <w:t xml:space="preserve"> </w:t>
      </w:r>
      <w:r>
        <w:rPr>
          <w:b/>
          <w:bCs/>
        </w:rPr>
        <w:t xml:space="preserve">specified contact schedule</w:t>
      </w:r>
      <w:r>
        <w:t xml:space="preserve"> </w:t>
      </w:r>
      <w:r>
        <w:t xml:space="preserve">in postnatal care.</w:t>
      </w:r>
    </w:p>
    <w:p>
      <w:pPr>
        <w:pStyle w:val="Compact"/>
        <w:numPr>
          <w:ilvl w:val="0"/>
          <w:numId w:val="1008"/>
        </w:numPr>
      </w:pPr>
      <w:r>
        <w:t xml:space="preserve">Select the cadre on cost and availability rather than on presumed effectiveness.</w:t>
      </w:r>
    </w:p>
    <w:p>
      <w:pPr>
        <w:pStyle w:val="Compact"/>
        <w:numPr>
          <w:ilvl w:val="0"/>
          <w:numId w:val="1008"/>
        </w:numPr>
      </w:pPr>
      <w:r>
        <w:t xml:space="preserve">Pair the facility moment — early initiation and skin-to-skin — with community follow-up. The</w:t>
      </w:r>
      <w:r>
        <w:t xml:space="preserve"> </w:t>
      </w:r>
      <w:r>
        <w:t xml:space="preserve">two are complements: one establishes breastfeeding, the other sustains it to six months.</w:t>
      </w:r>
    </w:p>
    <w:bookmarkEnd w:id="30"/>
    <w:bookmarkStart w:id="31" w:name="countries-to-focus-3"/>
    <w:p>
      <w:pPr>
        <w:pStyle w:val="Heading2"/>
      </w:pPr>
      <w:r>
        <w:t xml:space="preserve">Countries to focus</w:t>
      </w:r>
    </w:p>
    <w:p>
      <w:pPr>
        <w:pStyle w:val="FirstParagraph"/>
      </w:pPr>
      <w:r>
        <w:t xml:space="preserve">Less geographically determined than the others; this follows the health workforce rather than the</w:t>
      </w:r>
      <w:r>
        <w:t xml:space="preserve"> </w:t>
      </w:r>
      <w:r>
        <w:t xml:space="preserve">burden. Bangladesh and Viet Nam are the proven models.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</w:pPr>
    <w:rPr>
      <w:rFonts w:ascii="Cambria" w:cs="Cambria" w:eastAsia="Cambria" w:hAnsi="Cambria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/>
      <w:pBdr>
        <w:bottom w:color="12495B" w:space="6" w:sz="12" w:val="single"/>
      </w:pBdr>
    </w:pPr>
    <w:rPr>
      <w:rFonts w:ascii="Calibri" w:cs="Calibri" w:eastAsia="Calibri" w:hAnsi="Calibri"/>
      <w:b/>
      <w:color w:val="12495B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/>
    </w:pPr>
    <w:rPr>
      <w:rFonts w:ascii="Calibri" w:cs="Calibri" w:eastAsia="Calibri" w:hAnsi="Calibri"/>
      <w:color w:val="1F6B7B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20"/>
      <w:outlineLvl w:val="0"/>
    </w:pPr>
    <w:rPr>
      <w:rFonts w:ascii="Calibri" w:cs="Calibri" w:eastAsia="Calibri" w:hAnsi="Calibri"/>
      <w:b/>
      <w:color w:val="12495B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libri" w:cs="Calibri" w:eastAsia="Calibri" w:hAnsi="Calibri"/>
      <w:b/>
      <w:color w:val="1F6B7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Calibri" w:cs="Calibri" w:eastAsia="Calibri" w:hAnsi="Calibri"/>
      <w:b/>
      <w:color w:val="3D4A52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90" w:before="220"/>
      <w:outlineLvl w:val="3"/>
    </w:pPr>
    <w:rPr>
      <w:rFonts w:ascii="Calibri" w:cs="Calibri" w:eastAsia="Calibri" w:hAnsi="Calibri"/>
      <w:b/>
      <w:color w:val="3D4A52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color="C9D6DB" w:space="8" w:sz="4" w:val="single"/>
        <w:left w:color="1F6B7B" w:space="10" w:sz="18" w:val="single"/>
        <w:bottom w:color="C9D6DB" w:space="8" w:sz="4" w:val="single"/>
        <w:right w:color="C9D6DB" w:space="8" w:sz="4" w:val="single"/>
      </w:pBdr>
      <w:shd w:color="auto" w:fill="F2F7F9" w:val="clear"/>
      <w:spacing w:after="160" w:before="160" w:line="264" w:lineRule="auto"/>
      <w:ind w:left="0" w:right="0"/>
    </w:pPr>
    <w:rPr>
      <w:rFonts w:ascii="Cambria" w:cs="Cambria" w:eastAsia="Cambria" w:hAnsi="Cambria"/>
      <w:color w:val="1A1A1A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le" w:type="table">
    <w:name w:val="Table"/>
    <w:uiPriority w:val="99"/>
    <w:pPr>
      <w:spacing w:after="40" w:before="40" w:line="240" w:lineRule="auto"/>
    </w:pPr>
    <w:rPr>
      <w:rFonts w:ascii="Cambria" w:cs="Cambria" w:eastAsia="Cambria" w:hAnsi="Cambria"/>
      <w:sz w:val="19"/>
      <w:szCs w:val="19"/>
    </w:rPr>
    <w:tblPr>
      <w:tblBorders>
        <w:top w:color="C9D6DB" w:space="0" w:sz="4" w:val="single"/>
        <w:left w:color="C9D6DB" w:space="0" w:sz="4" w:val="single"/>
        <w:bottom w:color="C9D6DB" w:space="0" w:sz="4" w:val="single"/>
        <w:right w:color="C9D6DB" w:space="0" w:sz="4" w:val="single"/>
        <w:insideH w:color="C9D6DB" w:space="0" w:sz="4" w:val="single"/>
        <w:insideV w:color="C9D6D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12495B"/>
      </w:rPr>
      <w:tcPr>
        <w:shd w:color="auto" w:fill="E4EDF1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Works, and Why</dc:title>
  <dc:creator/>
  <cp:keywords/>
  <dcterms:created xsi:type="dcterms:W3CDTF">2026-09-02T01:35:38Z</dcterms:created>
  <dcterms:modified xsi:type="dcterms:W3CDTF">2026-09-02T01:35:38Z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Four nutrition interventions — evidence, mechanism and adoption pathway. For CARE and Impact Alliance partners</vt:lpwstr>
  </property>
</Properties>
</file>