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CMAM Programme Decision Memo</w:t>
      </w:r>
    </w:p>
    <w:p>
      <w:pPr>
        <w:pStyle w:val="Subtitle"/>
      </w:pPr>
      <w:r>
        <w:t>Proposed direction for ScaleWorks and CARE</w:t>
      </w:r>
    </w:p>
    <w:p>
      <w:pPr>
        <w:keepNext/>
        <w:spacing w:after="320"/>
      </w:pPr>
      <w:r>
        <w:rPr>
          <w:sz w:val="20"/>
        </w:rPr>
        <w:t>September 2026</w:t>
      </w:r>
    </w:p>
    <w:p>
      <w:pPr>
        <w:pStyle w:val="Heading1"/>
      </w:pPr>
      <w:r>
        <w:t>Decision requested</w:t>
      </w:r>
    </w:p>
    <w:p>
      <w:r>
        <w:rPr>
          <w:b w:val="0"/>
          <w:i w:val="0"/>
        </w:rPr>
        <w:t>Agree to develop a government-led CMAM programme that improves access to treatment and measures sustained recovery. Select the setting and delivery model with CARE and the relevant ministry before choosing a treatment protocol. The evidence supports proceeding with programme design, but does not yet justify a single simplified protocol or relapse-prevention package for every setting.</w:t>
      </w:r>
    </w:p>
    <w:p>
      <w:pPr>
        <w:pStyle w:val="Heading1"/>
      </w:pPr>
      <w:r>
        <w:t>Recommended direction</w:t>
      </w:r>
    </w:p>
    <w:p>
      <w:r>
        <w:rPr>
          <w:b w:val="0"/>
          <w:i w:val="0"/>
        </w:rPr>
        <w:t>Make the pathway from identification to treatment the first priority. Screen children at routine facility contacts, strengthen referrals and consider community treatment where reaching facilities is a major barrier. Measure how many eligible children enter and complete treatment, rather than treating the number screened as evidence of improved coverage.</w:t>
      </w:r>
    </w:p>
    <w:p>
      <w:r>
        <w:rPr>
          <w:b w:val="0"/>
          <w:i w:val="0"/>
        </w:rPr>
        <w:t>Choose simplification as a defined protocol decision, with explicit admission, dosing and discharge criteria. ComPAS has supportive trial evidence, but results vary by population and outcome. Any adaptation should be agreed with national authorities and accompanied by monitoring of attendance, recovery and outcomes among children entering with severe wasting.</w:t>
      </w:r>
    </w:p>
    <w:p>
      <w:r>
        <w:rPr>
          <w:b w:val="0"/>
          <w:i w:val="0"/>
        </w:rPr>
        <w:t>Build follow-up into the programme from the outset. Assess recovery over the six months after discharge, record relapse using both MUAC and weight-for-height where feasible, and report deaths and loss to follow-up separately. Cash transfers and caregiver screening merit consideration as interventions to evaluate; neither should be presented as a universally established solution.</w:t>
      </w:r>
    </w:p>
    <w:p>
      <w:pPr>
        <w:pStyle w:val="Heading1"/>
      </w:pPr>
      <w:r>
        <w:t>Evidence behind the recommendation</w:t>
      </w:r>
    </w:p>
    <w:p>
      <w:r>
        <w:rPr>
          <w:b/>
          <w:i w:val="0"/>
        </w:rPr>
        <w:t>Access and delivery.</w:t>
      </w:r>
      <w:r>
        <w:rPr>
          <w:b w:val="0"/>
          <w:i w:val="0"/>
        </w:rPr>
        <w:t xml:space="preserve"> Screening alone may not increase treatment uptake. In Mali, adding preventive supplements increased screening coverage by 40 percentage points but did not improve treatment coverage. Enrolment fell by 10 points in the longitudinal analysis; the authors suggested that volunteers may have substituted supplements for referral (Huybregts et al. 2019). In Gao, overall recovery was 92.9% with community delivery and a simplified protocol, compared with 81.8% with community delivery under the standard protocol. The unadjusted gap was 11.1 points overall and 16.1 points among severe cases. The trial had no facility-only simplified arm, so it could not isolate the interaction between decentralisation and simplification (López-Ejeda et al. 2024).</w:t>
      </w:r>
    </w:p>
    <w:p>
      <w:r>
        <w:rPr>
          <w:b/>
          <w:i w:val="0"/>
        </w:rPr>
        <w:t>Protocol choice.</w:t>
      </w:r>
      <w:r>
        <w:rPr>
          <w:b w:val="0"/>
          <w:i w:val="0"/>
        </w:rPr>
        <w:t xml:space="preserve"> ComPAS met the Kenya and South Sudan trial’s non-inferiority criterion for recovery. In Niger, it also met the criterion for a six-month outcome measured from enrolment, but standard care achieved higher nutritional recovery among children entering with MUAC below 115 mm or oedema. Missed visits were more frequent in the simplified arms. Stronger attendance support is a plausible response, but has not been shown to close this gap (Bailey et al. 2020; Daures et al. 2025).</w:t>
      </w:r>
    </w:p>
    <w:p>
      <w:r>
        <w:rPr>
          <w:b/>
          <w:i w:val="0"/>
        </w:rPr>
        <w:t>Sustained recovery.</w:t>
      </w:r>
      <w:r>
        <w:rPr>
          <w:b w:val="0"/>
          <w:i w:val="0"/>
        </w:rPr>
        <w:t xml:space="preserve"> Across study settings in Mali, South Sudan and Somalia, 22–63% of children discharged as recovered relapsed within six months. Better anthropometric status at discharge was associated with lower relapse, but this does not establish the effects of changing discharge thresholds. Cash transfers reduced relapse in one trial in the Democratic Republic of the Congo. A small caregiver-screening trial in Burkina Faso was inconclusive on its primary outcome of time to detection of relapse (King et al. 2025; Grellety et al. 2017; Bountogo et al. 2026).</w:t>
      </w:r>
    </w:p>
    <w:p>
      <w:pPr>
        <w:pStyle w:val="Heading1"/>
      </w:pPr>
      <w:r>
        <w:t>Guidance and evidence limits</w:t>
      </w:r>
    </w:p>
    <w:p>
      <w:r>
        <w:rPr>
          <w:b w:val="0"/>
          <w:i w:val="0"/>
        </w:rPr>
        <w:t>WHO conditionally supports community health worker management with adequate training and supervision, based on very-low-certainty evidence. Its 2023 RUTF recommendation keeps dosing indexed to body weight but lowers the range from 150–220 to 150–185 kcal/kg/day, with an option to reduce it to 100–130 once severe wasting and oedema resolve, until anthropometric recovery. This recommendation is conditional, based on low-certainty evidence. WHO’s recommendation to meet both weight-for-height and MUAC discharge criteria, with oedema resolved, is also conditional and based on very-low-certainty evidence. Fixed-dose, MUAC-only protocols differ from these recommendations (WHO 2023).</w:t>
      </w:r>
    </w:p>
    <w:p>
      <w:r>
        <w:rPr>
          <w:b w:val="0"/>
          <w:i w:val="0"/>
        </w:rPr>
        <w:t>Delivery effects depend on the setting, and much of the evidence on relapse is observational. Six-month outcomes measured from enrolment should not be treated as six months of sustained recovery after discharge. The programme should distinguish established care from adaptations being evaluated.</w:t>
      </w:r>
    </w:p>
    <w:p>
      <w:pPr>
        <w:pStyle w:val="Heading1"/>
      </w:pPr>
      <w:r>
        <w:t>Decisions for CARE and ScaleWorks</w:t>
      </w:r>
    </w:p>
    <w:p>
      <w:r>
        <w:rPr>
          <w:b w:val="0"/>
          <w:i w:val="0"/>
        </w:rPr>
        <w:t>Confirm the target geography, eligible population, government partner and implementation timeframe. Assess existing treatment coverage, referral failures and delivery capacity to decide where community treatment would add value. Agree the nationally authorised protocol and any proposed adaptations, including support for attendance and assessment before discharge. Finally, specify the follow-up arrangements and criteria for expanding or revising the programme based on observed outcomes.</w:t>
      </w:r>
    </w:p>
    <w:p>
      <w:r>
        <w:rPr>
          <w:b w:val="0"/>
          <w:i w:val="0"/>
        </w:rPr>
        <w:t>This memo summarises the accompanying CMAM_REPORT, which contains the full evidence discussion and references. It excludes programme cost comparisons. CMAM means community-based management of acute malnutrition; MUAC means mid-upper arm circumference; RUTF means ready-to-use therapeutic food.</w:t>
      </w:r>
    </w:p>
    <w:sectPr w:rsidR="00FC693F" w:rsidRPr="0006063C" w:rsidSect="00034616">
      <w:footerReference w:type="default" r:id="rId9"/>
      <w:pgSz w:w="11905" w:h="16838"/>
      <w:pgMar w:top="1123" w:right="1210" w:bottom="1123" w:left="121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80" w:line="240" w:lineRule="auto"/>
    </w:pPr>
    <w:rPr>
      <w:rFonts w:asciiTheme="majorHAnsi" w:eastAsiaTheme="majorEastAsia" w:hAnsiTheme="majorHAnsi" w:cstheme="majorBidi" w:ascii="Arial" w:hAnsi="Arial"/>
      <w:b/>
      <w:color w:val="000000"/>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200"/>
    </w:pPr>
    <w:rPr>
      <w:rFonts w:asciiTheme="majorHAnsi" w:eastAsiaTheme="majorEastAsia" w:hAnsiTheme="majorHAnsi" w:cstheme="majorBidi" w:ascii="Arial" w:hAnsi="Arial"/>
      <w:i w:val="0"/>
      <w:iCs/>
      <w:color w:val="000000"/>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pPr>
  </w:style>
  <w:style w:type="paragraph" w:styleId="List2">
    <w:name w:val="List 2"/>
    <w:basedOn w:val="Normal"/>
    <w:uiPriority w:val="99"/>
    <w:unhideWhenUsed/>
    <w:rsid w:val="00326F90"/>
    <w:pPr>
      <w:ind w:left="720" w:hanging="360"/>
    </w:pPr>
  </w:style>
  <w:style w:type="paragraph" w:styleId="List3">
    <w:name w:val="List 3"/>
    <w:basedOn w:val="Normal"/>
    <w:uiPriority w:val="99"/>
    <w:unhideWhenUsed/>
    <w:rsid w:val="00326F90"/>
    <w:pPr>
      <w:ind w:left="1080" w:hanging="360"/>
    </w:pPr>
  </w:style>
  <w:style w:type="paragraph" w:styleId="ListBullet">
    <w:name w:val="List Bullet"/>
    <w:basedOn w:val="Normal"/>
    <w:uiPriority w:val="99"/>
    <w:unhideWhenUsed/>
    <w:rsid w:val="00326F90"/>
    <w:pPr>
      <w:numPr>
        <w:numId w:val="1"/>
      </w:numPr>
    </w:pPr>
  </w:style>
  <w:style w:type="paragraph" w:styleId="ListBullet2">
    <w:name w:val="List Bullet 2"/>
    <w:basedOn w:val="Normal"/>
    <w:uiPriority w:val="99"/>
    <w:unhideWhenUsed/>
    <w:rsid w:val="00326F90"/>
    <w:pPr>
      <w:numPr>
        <w:numId w:val="2"/>
      </w:numPr>
    </w:pPr>
  </w:style>
  <w:style w:type="paragraph" w:styleId="ListBullet3">
    <w:name w:val="List Bullet 3"/>
    <w:basedOn w:val="Normal"/>
    <w:uiPriority w:val="99"/>
    <w:unhideWhenUsed/>
    <w:rsid w:val="00326F90"/>
    <w:pPr>
      <w:numPr>
        <w:numId w:val="3"/>
      </w:numPr>
    </w:pPr>
  </w:style>
  <w:style w:type="paragraph" w:styleId="ListNumber">
    <w:name w:val="List Number"/>
    <w:basedOn w:val="Normal"/>
    <w:uiPriority w:val="99"/>
    <w:unhideWhenUsed/>
    <w:rsid w:val="00326F90"/>
    <w:pPr>
      <w:numPr>
        <w:numId w:val="5"/>
      </w:numPr>
    </w:pPr>
  </w:style>
  <w:style w:type="paragraph" w:styleId="ListNumber2">
    <w:name w:val="List Number 2"/>
    <w:basedOn w:val="Normal"/>
    <w:uiPriority w:val="99"/>
    <w:unhideWhenUsed/>
    <w:rsid w:val="0029639D"/>
    <w:pPr>
      <w:numPr>
        <w:numId w:val="6"/>
      </w:numPr>
    </w:pPr>
  </w:style>
  <w:style w:type="paragraph" w:styleId="ListNumber3">
    <w:name w:val="List Number 3"/>
    <w:basedOn w:val="Normal"/>
    <w:uiPriority w:val="99"/>
    <w:unhideWhenUsed/>
    <w:rsid w:val="0029639D"/>
    <w:pPr>
      <w:numPr>
        <w:numId w:val="7"/>
      </w:numPr>
    </w:pPr>
  </w:style>
  <w:style w:type="paragraph" w:styleId="ListContinue">
    <w:name w:val="List Continue"/>
    <w:basedOn w:val="Normal"/>
    <w:uiPriority w:val="99"/>
    <w:unhideWhenUsed/>
    <w:rsid w:val="0029639D"/>
    <w:pPr>
      <w:spacing w:after="120"/>
      <w:ind w:left="360"/>
    </w:pPr>
  </w:style>
  <w:style w:type="paragraph" w:styleId="ListContinue2">
    <w:name w:val="List Continue 2"/>
    <w:basedOn w:val="Normal"/>
    <w:uiPriority w:val="99"/>
    <w:unhideWhenUsed/>
    <w:rsid w:val="0029639D"/>
    <w:pPr>
      <w:spacing w:after="120"/>
      <w:ind w:left="720"/>
    </w:pPr>
  </w:style>
  <w:style w:type="paragraph" w:styleId="ListContinue3">
    <w:name w:val="List Continue 3"/>
    <w:basedOn w:val="Normal"/>
    <w:uiPriority w:val="99"/>
    <w:unhideWhenUsed/>
    <w:rsid w:val="0029639D"/>
    <w:pPr>
      <w:spacing w:after="120"/>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240" w:lineRule="auto"/>
    </w:pPr>
    <w:rPr>
      <w:rFonts w:ascii="Arial" w:hAnsi="Arial"/>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CMAM Programme Decision Memo</dc:title>
  <dc:subject>Proposed direction for ScaleWorks and CARE</dc:subject>
  <dc:creator/>
  <cp:keywords/>
  <dc:description/>
  <cp:lastModifiedBy/>
  <cp:revision>1</cp:revision>
  <dcterms:created xsi:type="dcterms:W3CDTF">2013-12-23T23:15:00Z</dcterms:created>
  <dcterms:modified xsi:type="dcterms:W3CDTF">2013-12-23T23:15:00Z</dcterms:modified>
  <cp:category/>
</cp:coreProperties>
</file>