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Treating Child Wasting at Scale</w:t>
      </w:r>
    </w:p>
    <w:p>
      <w:pPr>
        <w:pStyle w:val="Subtitle"/>
      </w:pPr>
      <w:r>
        <w:t>Evidence to inform a ScaleWorks programme for community based management of acute malnutrition</w:t>
      </w:r>
    </w:p>
    <w:p>
      <w:pPr>
        <w:keepNext/>
        <w:spacing w:after="320"/>
      </w:pPr>
      <w:r>
        <w:rPr>
          <w:sz w:val="20"/>
        </w:rPr>
        <w:t>September 2026</w:t>
      </w:r>
    </w:p>
    <w:p>
      <w:r>
        <w:rPr>
          <w:b w:val="0"/>
          <w:i w:val="0"/>
        </w:rPr>
        <w:t>The evidence reviewed here points to three priorities for a ScaleWorks programme: helping children reach treatment, choosing a treatment protocol that can be delivered reliably, and supporting recovery after discharge. Bringing care closer to families and simplifying some aspects of treatment are promising approaches, but their effects depend on the setting and the children being treated. Evidence on preventing relapse is less developed. Programme design will therefore need to combine established care with careful evaluation of changes to delivery and follow-up.</w:t>
      </w:r>
    </w:p>
    <w:p>
      <w:pPr>
        <w:pStyle w:val="Heading1"/>
      </w:pPr>
      <w:r>
        <w:t>Introduction</w:t>
      </w:r>
    </w:p>
    <w:p>
      <w:pPr>
        <w:pStyle w:val="Heading2"/>
      </w:pPr>
      <w:r>
        <w:t>The need for treatment and sustained recovery</w:t>
      </w:r>
    </w:p>
    <w:p>
      <w:r>
        <w:rPr>
          <w:b w:val="0"/>
          <w:i w:val="0"/>
        </w:rPr>
        <w:t>In 2024, an estimated 42.8 million children under five had wasting, representing 6.6% of the age group. Of these, 12.2 million were severely wasted (UNICEF, WHO and World Bank 2025). These figures describe prevalence rather than every episode occurring during the year. Severe wasting is associated with a substantially higher risk of death. In a pooled analysis of ten cohorts covering 53,809 children, those with severe wasting died at 11.6 times the rate of children whose weight-for-height z-score was at least −1 (Olofin et al. 2013).</w:t>
      </w:r>
    </w:p>
    <w:p>
      <w:r>
        <w:rPr>
          <w:b w:val="0"/>
          <w:i w:val="0"/>
        </w:rPr>
        <w:t>Community-based management of acute malnutrition (CMAM) combines identification in the community with outpatient nutritional and medical care, supported by referral for inpatient treatment when needed. This review concerns children aged 6–59 months. Children with uncomplicated severe wasting who are eligible for outpatient care receive ready-to-use therapeutic food (RUTF) to eat at home and attend regular follow-up visits. Those with medical complications, poor appetite or severe nutritional oedema may need inpatient care.</w:t>
      </w:r>
    </w:p>
    <w:p>
      <w:r>
        <w:rPr>
          <w:b w:val="0"/>
          <w:i w:val="0"/>
        </w:rPr>
        <w:t>Severe wasting is identified by a mid-upper arm circumference (MUAC) below 115 mm and/or a weight-for-height or weight-for-length z-score below −3. A MUAC from 115 mm to below 125 mm is a criterion for moderate wasting, provided the child does not meet criteria for severe acute malnutrition. Bilateral pitting oedema is a separate criterion for severe acute malnutrition. Infants younger than six months follow a different care pathway (WHO 2023).</w:t>
      </w:r>
    </w:p>
    <w:p>
      <w:r>
        <w:rPr>
          <w:b w:val="0"/>
          <w:i w:val="0"/>
        </w:rPr>
        <w:t>RUTF probably improves recovery compared with alternative dietary approaches (RR 1.33, 95% CI 1.16–1.54; moderate-certainty evidence), although these trials do not estimate the effect of the full CMAM package compared with no treatment (Schoonees et al. 2019). The challenge for a programme seeking scale extends beyond the effectiveness of the food itself. Children must first be identified and enrolled, remain in treatment long enough to recover, and sustain that recovery afterwards.</w:t>
      </w:r>
    </w:p>
    <w:p>
      <w:r>
        <w:rPr>
          <w:b w:val="0"/>
          <w:i w:val="0"/>
        </w:rPr>
        <w:t>Historical coverage estimates illustrate the size of the access problem. The 2020 Global Action Plan on Child Wasting reported that roughly one severely wasted child in three received treatment (FAO et al. 2020). A review of 44 coverage assessments in 21 countries, conducted in 2012–2013, found mean coverage of 38.3%. Its authors noted possible selection towards better-performing programmes, so coverage elsewhere may have been lower (Rogers et al. 2015). Neither figure is a current, representative global estimate. Recovery can also be difficult to sustain: across three study settings, 22–63% of children discharged as recovered relapsed to moderate or severe acute malnutrition within six months (King et al. 2025).</w:t>
      </w:r>
    </w:p>
    <w:p>
      <w:r>
        <w:rPr>
          <w:b w:val="0"/>
          <w:i w:val="0"/>
        </w:rPr>
        <w:t>In technical feedback on the initial review, Save the Children identified adherence and coverage as the main constraints to CMAM delivery (IA partner feedback, July 2026). The evidence is consistent with this emphasis. The following sections examine where children are missed, how treatment can be delivered more effectively, and what might reduce the risk of relapse.</w:t>
      </w:r>
    </w:p>
    <w:p>
      <w:pPr>
        <w:pStyle w:val="Heading2"/>
      </w:pPr>
      <w:r>
        <w:t>The programme ScaleWorks aims to develop</w:t>
      </w:r>
    </w:p>
    <w:p>
      <w:r>
        <w:rPr>
          <w:b w:val="0"/>
          <w:i w:val="0"/>
        </w:rPr>
        <w:t>ScaleWorks aims to design a CMAM programme that governments can adopt and expand beyond its first setting. The choice of location matters because the opportunity depends on both the burden of wasting and the availability of existing care. National survey estimates put wasting prevalence at 11.6% in Nigeria in 2021 and 10.9% in Niger in 2022 (World Bank, accessed September 2026). GiveWell’s cost-effectiveness analysis of treatment in Gombe State, northeastern Nigeria, uses baseline treatment coverage of about 1% (GiveWell 2024).</w:t>
      </w:r>
    </w:p>
    <w:p>
      <w:r>
        <w:rPr>
          <w:b w:val="0"/>
          <w:i w:val="0"/>
        </w:rPr>
        <w:t>Most of the delivery and protocol trials discussed here were conducted in Mali, Niger, Kenya, South Sudan and Burkina Faso, with further evidence from Bangladesh, Burundi, the Democratic Republic of the Congo and Pakistan. Applying their findings elsewhere requires an assessment of local health-system capacity, population characteristics, treatment practices and the constraints caregivers face.</w:t>
      </w:r>
    </w:p>
    <w:p>
      <w:r>
        <w:rPr>
          <w:b w:val="0"/>
          <w:i w:val="0"/>
        </w:rPr>
        <w:t>Government adoption also requires early discussion of national guidance. A study of decision-making in Niger, Nigeria, Somalia and South Sudan found that routine guidelines generally did not incorporate the combined protocol in 2020, although some elements had been accepted for emergency use (Dalglish et al. 2020). This suggests a possible starting point for discussions with ministries, but does not establish current permission in the setting ScaleWorks selects.</w:t>
      </w:r>
    </w:p>
    <w:p>
      <w:pPr>
        <w:spacing w:before="60"/>
      </w:pPr>
      <w:r>
        <w:rPr>
          <w:b w:val="0"/>
          <w:i/>
        </w:rPr>
        <w:t>To be completed with CARE: the target geography and population, timeframe, budget envelope and intended government partner.</w:t>
      </w:r>
    </w:p>
    <w:p>
      <w:pPr>
        <w:pStyle w:val="Heading1"/>
      </w:pPr>
      <w:r>
        <w:t>Reaching children who need treatment</w:t>
      </w:r>
    </w:p>
    <w:p>
      <w:pPr>
        <w:pStyle w:val="Heading2"/>
      </w:pPr>
      <w:r>
        <w:t>Connecting identification with enrolment</w:t>
      </w:r>
    </w:p>
    <w:p>
      <w:r>
        <w:rPr>
          <w:b w:val="0"/>
          <w:i w:val="0"/>
        </w:rPr>
        <w:t>Families encounter several barriers before a child enters treatment. Across the 44 coverage assessments reviewed by Rogers et al. (2015), five barriers accounted for 84% of reported reasons for non-attendance. The most frequent were failure to recognise malnutrition and lack of awareness that a programme existed. Together, these accounted for 55% of responses. They were followed by the costs of travel and time away from work or farming, missed opportunities to screen children attending a health facility for another reason, and previous rejection after screening.</w:t>
      </w:r>
    </w:p>
    <w:p>
      <w:r>
        <w:rPr>
          <w:b w:val="0"/>
          <w:i w:val="0"/>
        </w:rPr>
        <w:t>Improving identification does not necessarily resolve these barriers. In an observational comparison in Burundi, clinic-based systematic screening enrolled 98% of the cases it detected, compared with 8% for community mass screening (Odjidja et al. 2022). Children identified in a village still had to reach a treatment facility. The comparison therefore highlights the importance of the route from screening to enrolment, while its observational design limits causal interpretation.</w:t>
      </w:r>
    </w:p>
    <w:p>
      <w:r>
        <w:rPr>
          <w:b w:val="0"/>
          <w:i w:val="0"/>
        </w:rPr>
        <w:t>A cluster-randomised trial in Mali provides a further example. Adding preventive supplements to community screening increased screening coverage by 40 percentage points but did not change treatment coverage. Across both arms, only 7.6% of children with acute malnutrition had received appropriate treatment in the month before the endline survey. Volunteers gave identified children preventive supplements rather than referring them, and the longitudinal analysis found treatment enrolment 10 percentage points lower (Huybregts et al. 2019). Screening activity and treatment coverage should therefore be measured separately.</w:t>
      </w:r>
    </w:p>
    <w:p>
      <w:pPr>
        <w:pStyle w:val="Heading2"/>
      </w:pPr>
      <w:r>
        <w:t>Bringing treatment closer to families</w:t>
      </w:r>
    </w:p>
    <w:p>
      <w:r>
        <w:rPr>
          <w:b w:val="0"/>
          <w:i w:val="0"/>
        </w:rPr>
        <w:t>Moving treatment into the community may help address the practical costs of reaching a facility. In Kita, Mali, a study comparing facilities alone with facilities plus community health workers found that coverage in the intervention area rose from 43.9% to 86.7%, compared with 41.6% in the control area. Recovery was 94.2% versus 88.6%, and defaulting was 4.5% versus 10.8% (RR 0.42, 95% CI 0.25–0.71). No statistically significant mortality difference was detected (Alvarez Morán et al. 2018). The study had only one cluster per arm, however, and the 2023 Cochrane review analysed it as non-randomised.</w:t>
      </w:r>
    </w:p>
    <w:p>
      <w:r>
        <w:rPr>
          <w:b w:val="0"/>
          <w:i w:val="0"/>
        </w:rPr>
        <w:t>The larger Gao trial enrolled 2,038 children in a three-arm cluster-randomised comparison. Recovery was 76.3% with facility-based care, 81.8% when community health workers also provided the standard protocol, and 92.9% when community health workers and facilities used a simplified protocol. Among severe cases, the corresponding figures were 71.4%, 71.5% and 87.6% (López-Ejeda et al. 2024). Adding community health workers under the standard protocol produced similar severe-case recovery to facility care alone. The combined approach had an unadjusted recovery proportion 16.1 percentage points higher than the community arm using the standard protocol. This supports evaluating decentralisation alongside simplification. Because the trial had no facility-only simplified arm, it does not establish that the two changes must always be introduced together.</w:t>
      </w:r>
    </w:p>
    <w:p>
      <w:r>
        <w:rPr>
          <w:b w:val="0"/>
          <w:i w:val="0"/>
        </w:rPr>
        <w:t>Results from Pakistan show why local evaluation remains important. In a cluster-randomised trial in Sindh, treatment delivered by lady health workers alongside facilities cost US$291 per child treated, compared with US$301 for facilities alone. Recovery was 76.0% versus 83.0%, bringing the cost per child recovered to US$382 versus US$363. The authors reported considerable uncertainty about which model was more cost-effective (Rogers et al. 2019).</w:t>
      </w:r>
    </w:p>
    <w:p>
      <w:pPr>
        <w:pStyle w:val="Heading2"/>
      </w:pPr>
      <w:r>
        <w:t>Programme costs and delivery capacity</w:t>
      </w:r>
    </w:p>
    <w:p>
      <w:r>
        <w:rPr>
          <w:b w:val="0"/>
          <w:i w:val="0"/>
        </w:rPr>
        <w:t>The economic evaluation of Gao found lower costs per child treated in both arms that included community health workers. The comparison also shows that the cheapest model per child treated was not the cheapest per disability-adjusted life-year (DALY) averted (Cichon et al. 2025).</w:t>
      </w:r>
    </w:p>
    <w:p>
      <w:pPr>
        <w:pStyle w:val="Caption"/>
      </w:pPr>
      <w:r>
        <w:rPr>
          <w:b/>
          <w:i w:val="0"/>
        </w:rPr>
        <w:t>Costs reported in the Gao economic evaluation</w:t>
      </w:r>
    </w:p>
    <w:tbl>
      <w:tblPr>
        <w:tblW w:type="auto" w:w="0"/>
        <w:jc w:val="center"/>
        <w:tblLayout w:type="fixed"/>
        <w:tblLook w:firstColumn="1" w:firstRow="1" w:lastColumn="0" w:lastRow="0" w:noHBand="0" w:noVBand="1" w:val="04A0"/>
      </w:tblPr>
      <w:tblGrid>
        <w:gridCol w:w="3024"/>
        <w:gridCol w:w="1584"/>
        <w:gridCol w:w="2304"/>
        <w:gridCol w:w="2578"/>
      </w:tblGrid>
      <w:tr>
        <w:trPr>
          <w:cantSplit/>
          <w:tblHeader/>
        </w:trPr>
        <w:tc>
          <w:tcPr>
            <w:tcW w:type="dxa" w:w="302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E6EBEE"/>
          </w:tcPr>
          <w:p>
            <w:pPr>
              <w:keepNext/>
              <w:spacing w:after="0" w:line="259" w:lineRule="auto"/>
              <w:jc w:val="left"/>
            </w:pPr>
            <w:r>
              <w:rPr>
                <w:b/>
                <w:i w:val="0"/>
                <w:sz w:val="19"/>
              </w:rPr>
              <w:t>Metric</w:t>
            </w:r>
          </w:p>
        </w:tc>
        <w:tc>
          <w:tcPr>
            <w:tcW w:type="dxa" w:w="158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E6EBEE"/>
          </w:tcPr>
          <w:p>
            <w:pPr>
              <w:keepNext/>
              <w:spacing w:after="0" w:line="259" w:lineRule="auto"/>
              <w:jc w:val="center"/>
            </w:pPr>
            <w:r>
              <w:rPr>
                <w:b/>
                <w:i w:val="0"/>
                <w:sz w:val="19"/>
              </w:rPr>
              <w:t>Facilities only</w:t>
            </w:r>
          </w:p>
        </w:tc>
        <w:tc>
          <w:tcPr>
            <w:tcW w:type="dxa" w:w="230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E6EBEE"/>
          </w:tcPr>
          <w:p>
            <w:pPr>
              <w:keepNext/>
              <w:spacing w:after="0" w:line="259" w:lineRule="auto"/>
              <w:jc w:val="center"/>
            </w:pPr>
            <w:r>
              <w:rPr>
                <w:b/>
                <w:i w:val="0"/>
                <w:sz w:val="19"/>
              </w:rPr>
              <w:t>CHWs and facilities with standard protocol</w:t>
            </w:r>
          </w:p>
        </w:tc>
        <w:tc>
          <w:tcPr>
            <w:tcW w:type="dxa" w:w="2578"/>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E6EBEE"/>
          </w:tcPr>
          <w:p>
            <w:pPr>
              <w:keepNext/>
              <w:spacing w:after="0" w:line="259" w:lineRule="auto"/>
              <w:jc w:val="center"/>
            </w:pPr>
            <w:r>
              <w:rPr>
                <w:b/>
                <w:i w:val="0"/>
                <w:sz w:val="19"/>
              </w:rPr>
              <w:t>CHWs and facilities with simplified protocol</w:t>
            </w:r>
          </w:p>
        </w:tc>
      </w:tr>
      <w:tr>
        <w:trPr>
          <w:cantSplit/>
        </w:trPr>
        <w:tc>
          <w:tcPr>
            <w:tcW w:type="dxa" w:w="302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left"/>
            </w:pPr>
            <w:r>
              <w:rPr>
                <w:b w:val="0"/>
                <w:i w:val="0"/>
                <w:sz w:val="19"/>
              </w:rPr>
              <w:t>Cost per child treated</w:t>
            </w:r>
          </w:p>
        </w:tc>
        <w:tc>
          <w:tcPr>
            <w:tcW w:type="dxa" w:w="158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US$272</w:t>
            </w:r>
          </w:p>
        </w:tc>
        <w:tc>
          <w:tcPr>
            <w:tcW w:type="dxa" w:w="230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US$179</w:t>
            </w:r>
          </w:p>
        </w:tc>
        <w:tc>
          <w:tcPr>
            <w:tcW w:type="dxa" w:w="2578"/>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US$210</w:t>
            </w:r>
          </w:p>
        </w:tc>
      </w:tr>
      <w:tr>
        <w:trPr>
          <w:cantSplit/>
        </w:trPr>
        <w:tc>
          <w:tcPr>
            <w:tcW w:type="dxa" w:w="302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left"/>
            </w:pPr>
            <w:r>
              <w:rPr>
                <w:b w:val="0"/>
                <w:i w:val="0"/>
                <w:sz w:val="19"/>
              </w:rPr>
              <w:t>Cost per child recovered</w:t>
            </w:r>
          </w:p>
        </w:tc>
        <w:tc>
          <w:tcPr>
            <w:tcW w:type="dxa" w:w="158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US$356</w:t>
            </w:r>
          </w:p>
        </w:tc>
        <w:tc>
          <w:tcPr>
            <w:tcW w:type="dxa" w:w="230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US$219</w:t>
            </w:r>
          </w:p>
        </w:tc>
        <w:tc>
          <w:tcPr>
            <w:tcW w:type="dxa" w:w="2578"/>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US$226</w:t>
            </w:r>
          </w:p>
        </w:tc>
      </w:tr>
      <w:tr>
        <w:trPr>
          <w:cantSplit/>
        </w:trPr>
        <w:tc>
          <w:tcPr>
            <w:tcW w:type="dxa" w:w="302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left"/>
            </w:pPr>
            <w:r>
              <w:rPr>
                <w:b w:val="0"/>
                <w:i w:val="0"/>
                <w:sz w:val="19"/>
              </w:rPr>
              <w:t>Cost per DALY averted</w:t>
            </w:r>
          </w:p>
        </w:tc>
        <w:tc>
          <w:tcPr>
            <w:tcW w:type="dxa" w:w="158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US$173</w:t>
            </w:r>
          </w:p>
        </w:tc>
        <w:tc>
          <w:tcPr>
            <w:tcW w:type="dxa" w:w="2304"/>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US$60</w:t>
            </w:r>
          </w:p>
        </w:tc>
        <w:tc>
          <w:tcPr>
            <w:tcW w:type="dxa" w:w="2578"/>
            <w:vAlign w:val="center"/>
            <w:tcBorders>
              <w:top w:val="single" w:sz="4" w:color="D9D9D9"/>
              <w:left w:val="single" w:sz="4" w:color="D9D9D9"/>
              <w:bottom w:val="single" w:sz="4" w:color="D9D9D9"/>
              <w:right w:val="single" w:sz="4" w:color="D9D9D9"/>
            </w:tcBorders>
            <w:tcMar>
              <w:top w:w="100" w:type="dxa"/>
              <w:bottom w:w="100" w:type="dxa"/>
              <w:left w:w="105" w:type="dxa"/>
              <w:right w:w="105" w:type="dxa"/>
            </w:tcMar>
            <w:shd w:fill="FFFFFF"/>
          </w:tcPr>
          <w:p>
            <w:pPr>
              <w:keepNext w:val="0"/>
              <w:spacing w:after="0" w:line="259" w:lineRule="auto"/>
              <w:jc w:val="center"/>
            </w:pPr>
            <w:r>
              <w:rPr>
                <w:b w:val="0"/>
                <w:i w:val="0"/>
                <w:sz w:val="19"/>
              </w:rPr>
              <w:t>US$53</w:t>
            </w:r>
          </w:p>
        </w:tc>
      </w:tr>
    </w:tbl>
    <w:p>
      <w:pPr>
        <w:spacing w:before="180"/>
      </w:pPr>
      <w:r>
        <w:rPr>
          <w:b w:val="0"/>
          <w:i w:val="0"/>
        </w:rPr>
        <w:t>Total programme cost was similar across the three arms. Coordination and supervision together accounted for 42–44% of total cost, which was spread across a larger caseload when more children were treated. These findings do not establish a universal cost structure. ScaleWorks’ budget will need to reflect local staffing, transport, supervision and expected caseloads.</w:t>
      </w:r>
    </w:p>
    <w:p>
      <w:r>
        <w:rPr>
          <w:b w:val="0"/>
          <w:i w:val="0"/>
        </w:rPr>
        <w:t>Taimaka offers a related example of delivery through government primary health facilities in Gombe State, Nigeria. It uses community health extension workers as triage officers, app-guided assessment, MUAC-based admission and nurse supervision, with referral for inpatient care. This differs from the additional community treatment sites used in Gao. GiveWell’s model estimates a cost of about US$105 per child treated and cost-effectiveness roughly nine times its cash-transfer benchmark. These are model estimates rather than trial findings. Taimaka’s self-reported 2024 recovery rate was 92.9% after non-response cases were excluded from the denominator; about 84% of all discharges were recoveries. GiveWell’s reservations include possible effects on other health services and on quality of care (GiveWell 2024).</w:t>
      </w:r>
    </w:p>
    <w:p>
      <w:r>
        <w:rPr>
          <w:b w:val="0"/>
          <w:i w:val="0"/>
        </w:rPr>
        <w:t>WHO’s 2023 guideline allows community health workers to assess, classify, manage or refer children with wasting when they receive adequate training and supervision. The recommendation is conditional and based on very-low-certainty evidence (WHO 2023). The 2023 Cochrane review also identified very-low-certainty evidence for several outcomes, including recovery, coverage and mortality; the Gao trial was published later (Papadopoulou et al. 2023).</w:t>
      </w:r>
    </w:p>
    <w:p>
      <w:r>
        <w:rPr>
          <w:b w:val="0"/>
          <w:i w:val="0"/>
        </w:rPr>
        <w:t>For ScaleWorks, the practical priority is to make each screening contact lead to an effective treatment pathway. Children attending facilities should be screened regardless of the reason for their visit, and referral and admission criteria should follow the nationally authorised protocol. This includes routes for children identified by oedema or weight-for-height. Recording why referrals do not lead to enrolment would help distinguish failures of access from differences in eligibility. Any expansion of community treatment should include funding for training, coordination, supervision and referral, with case-finding and treatment coverage reported separately.</w:t>
      </w:r>
    </w:p>
    <w:p>
      <w:pPr>
        <w:pStyle w:val="Heading1"/>
      </w:pPr>
      <w:r>
        <w:t>Choosing a treatment protocol</w:t>
      </w:r>
    </w:p>
    <w:p>
      <w:pPr>
        <w:pStyle w:val="Heading2"/>
      </w:pPr>
      <w:r>
        <w:t>What simplification changes</w:t>
      </w:r>
    </w:p>
    <w:p>
      <w:r>
        <w:rPr>
          <w:b w:val="0"/>
          <w:i w:val="0"/>
        </w:rPr>
        <w:t>Simplified approaches alter different parts of care, so their findings cannot be treated as interchangeable. Combined protocols treat severe and moderate wasting within one programme using one product, but admission, discharge and dosing rules vary. ComPAS assigns fixed sachet quantities by MUAC category, while OptiMA doses by body weight within MUAC bands. Reduced-dose trials such as MANGO test one component rather than the entire combined programme.</w:t>
      </w:r>
    </w:p>
    <w:p>
      <w:r>
        <w:rPr>
          <w:b w:val="0"/>
          <w:i w:val="0"/>
        </w:rPr>
        <w:t>Under ComPAS, children with MUAC below 115 mm or oedema receive two sachets of RUTF daily, equivalent to about 1,000 kcal. Those with MUAC from 115 mm to below 125 mm receive one sachet, or about 500 kcal. The dose is reduced once MUAC reaches 115 mm and oedema is absent on two consecutive visits. Discharge requires MUAC of at least 125 mm and no oedema on two consecutive visits (Bailey et al. 2020).</w:t>
      </w:r>
    </w:p>
    <w:p>
      <w:pPr>
        <w:pStyle w:val="Heading2"/>
      </w:pPr>
      <w:r>
        <w:t>Evidence on recovery and attendance</w:t>
      </w:r>
    </w:p>
    <w:p>
      <w:r>
        <w:rPr>
          <w:b w:val="0"/>
          <w:i w:val="0"/>
        </w:rPr>
        <w:t>The ComPAS cluster-randomised trial enrolled 4,110 children in Kenya and South Sudan. Per-protocol recovery was 76.3% under the combined protocol and 73.5% under standard care, meeting the trial’s non-inferiority criterion. Per-protocol mortality was 1.8% in both arms. Unadjusted defaulting among severe cases was 33.8% versus 44.3%. Among children admitted with severe acute malnutrition who recovered, the combined protocol used 122 sachets of ready-to-use food compared with 193 under standard care, which used both therapeutic and supplementary food. Cost per child recovered was US$918 versus US$1,041 (Bailey et al. 2020).</w:t>
      </w:r>
    </w:p>
    <w:p>
      <w:r>
        <w:rPr>
          <w:b w:val="0"/>
          <w:i w:val="0"/>
        </w:rPr>
        <w:t>At those unit costs, a fixed budget could fund about 13% more recoveries if costs remained constant during expansion. This is an illustrative calculation based on US$1,041 divided by US$918, not an observed effect of scale-up.</w:t>
      </w:r>
    </w:p>
    <w:p>
      <w:r>
        <w:rPr>
          <w:b w:val="0"/>
          <w:i w:val="0"/>
        </w:rPr>
        <w:t>The Niger trial compared standard care with both ComPAS and OptiMA. It included 1,732 children in the primary analysis and 1,140 in the severe-case analysis, with recruitment continuing to reach the latter sample. The primary outcome assessed whether children were alive, met the study’s nutritional criteria and had experienced no further episode six months after enrolment. ComPAS was non-inferior in both intention-to-treat and per-protocol analyses; OptiMA met the criterion only in the intention-to-treat analysis (Daures et al. 2025).</w:t>
      </w:r>
    </w:p>
    <w:p>
      <w:r>
        <w:rPr>
          <w:b w:val="0"/>
          <w:i w:val="0"/>
        </w:rPr>
        <w:t>The findings were less favourable for children entering with MUAC below 115 mm or oedema. Standard care achieved higher nutritional recovery in both analyses, although ComPAS and OptiMA used about 50% and 32% less RUTF, respectively. No statistically significant mortality difference was detected. The authors attributed the recovery difference mainly to attendance, as missed visits were more frequent in the simplified arms. Better follow-up is a plausible response, but was not tested. The six-month endpoint also began at enrolment, so it should not be interpreted as six months of follow-up after discharge (Daures et al. 2025).</w:t>
      </w:r>
    </w:p>
    <w:p>
      <w:r>
        <w:rPr>
          <w:b w:val="0"/>
          <w:i w:val="0"/>
        </w:rPr>
        <w:t>MANGO, a randomised trial in Burkina Faso, found a reduced RUTF dose non-inferior for weight gain. It also found a small negative effect on height gain of 0.2 mm per week, which was more pronounced among children younger than 12 months (Kangas et al. 2019). This illustrates why assessment of simplification needs to include growth and age-specific outcomes as well as recovery.</w:t>
      </w:r>
    </w:p>
    <w:p>
      <w:pPr>
        <w:pStyle w:val="Heading2"/>
      </w:pPr>
      <w:r>
        <w:t>Costs and alignment with guidance</w:t>
      </w:r>
    </w:p>
    <w:p>
      <w:r>
        <w:rPr>
          <w:b w:val="0"/>
          <w:i w:val="0"/>
        </w:rPr>
        <w:t>Lower food use does not necessarily produce proportionate savings in total programme cost. In Gao, the community arm using the simplified protocol cost more per child treated than the community arm using the standard protocol, at US$210 versus US$179. Cost per child recovered was similar, at US$226 versus US$219. RUTF costs for severe cases were US$5.70 lower per child under the simplified protocol, but food represented a relatively small share of total expenditure (Cichon et al. 2025). ScaleWorks should therefore cost the whole delivery model.</w:t>
      </w:r>
    </w:p>
    <w:p>
      <w:r>
        <w:rPr>
          <w:b w:val="0"/>
          <w:i w:val="0"/>
        </w:rPr>
        <w:t>The choice of food formulation is a separate consideration. A Cochrane review found little or no difference in recovery between standard and alternative RUTF formulations (RR 1.03, 95% CI 0.99–1.08; high-certainty evidence). Standard RUTF nevertheless reduced relapse compared with the alternative formulations assessed (RR 0.84, 95% CI 0.72–0.98; high-certainty evidence) (Schoonees et al. 2019).</w:t>
      </w:r>
    </w:p>
    <w:p>
      <w:r>
        <w:rPr>
          <w:b w:val="0"/>
          <w:i w:val="0"/>
        </w:rPr>
        <w:t>WHO’s 2023 guideline retains RUTF dosing by body weight at 150–185 kcal/kg/day, with an option to reduce this to 100–130 kcal/kg/day once severe wasting and oedema have resolved. It also requires both weight-for-height and MUAC criteria for discharge (WHO 2023). A fixed-dose, MUAC-only protocol therefore differs from these recommendations. The evidence on relapse discussed below reinforces the importance of considering nutritional status at discharge.</w:t>
      </w:r>
    </w:p>
    <w:p>
      <w:r>
        <w:rPr>
          <w:b w:val="0"/>
          <w:i w:val="0"/>
        </w:rPr>
        <w:t>ScaleWorks should select a specified protocol for eligible outpatients in discussion with the relevant ministry, taking account of national authorisation and local effectiveness, acceptability and feasibility. The protocol for uncomplicated severe wasting should be distinguished from that for moderate wasting. If treatment is simplified for severely wasted children, attendance should be strengthened and monitored, with evaluation of whether this closes the recovery gap observed in Niger. Where weight-for-height can be measured, its use before discharge should also be assessed.</w:t>
      </w:r>
    </w:p>
    <w:p>
      <w:pPr>
        <w:pStyle w:val="Heading1"/>
      </w:pPr>
      <w:r>
        <w:t>Sustaining recovery after treatment</w:t>
      </w:r>
    </w:p>
    <w:p>
      <w:pPr>
        <w:pStyle w:val="Heading2"/>
      </w:pPr>
      <w:r>
        <w:t>Nutritional status at discharge</w:t>
      </w:r>
    </w:p>
    <w:p>
      <w:r>
        <w:rPr>
          <w:b w:val="0"/>
          <w:i w:val="0"/>
        </w:rPr>
        <w:t>Relapse can undo recovery and create substantial additional costs for individual children. Across Mali, South Sudan and Somalia, 22–63% of children discharged as recovered relapsed within six months. Depending on the setting, they were 1.2–6.2 times as likely to develop acute malnutrition as matched peers with no episode in the previous year (King et al. 2025). Total treatment costs for a child who relapsed to severe wasting were 1.7–2.2 times those for a child who recovered once. Retreatment added US$64–215 per child across the three settings, expressed in 2022 US dollars. Because a minority relapsed to severe wasting, eliminating relapse would save an average of US$2–45 per admitted child (Puett et al. 2026).</w:t>
      </w:r>
    </w:p>
    <w:p>
      <w:r>
        <w:rPr>
          <w:b w:val="0"/>
          <w:i w:val="0"/>
        </w:rPr>
        <w:t>Evidence about who is likely to relapse is clearer than evidence about how to prevent it. Across the three settings, better anthropometric status at discharge was associated with lower relapse, while few other characteristics measured at discharge predicted it (King et al. 2025). Among 420 children treated under a simplified protocol in Mali, each additional millimetre of MUAC at discharge was associated with a 23% lower hazard of relapse (aHR 0.77, 95% CI 0.69–0.86). A weight-for-age z-score below −3 was associated with about three times the hazard (aHR 3.09, 95% CI 1.69–5.62) (Kangas et al. 2023). Smaller MUAC and lower weight-for-height at discharge also predicted relapse or death following treatment for moderate acute malnutrition in a Malawi trial (Stobaugh et al. 2017).</w:t>
      </w:r>
    </w:p>
    <w:p>
      <w:r>
        <w:rPr>
          <w:b w:val="0"/>
          <w:i w:val="0"/>
        </w:rPr>
        <w:t>A pooled analysis of 21 studies in 13 countries, covering 15,394 children discharged as cured, provides further evidence. Children who still met moderate-wasting criteria at discharge had a six-month incidence of relapse to severe wasting of 14.2% (13.2–15.2), compared with 5.2% (4.8–5.6) among those who did not. Relapse was more frequent among children still wasted by weight-for-height than among those wasted by MUAC, at 19.2% versus 9.4%. A definition of severe wasting based only on MUAC would have missed more than 60% of relapse cases. The authors concluded that both MUAC and weight-for-height should exceed moderate-wasting cut-offs before discharge (Guesdon et al. 2026).</w:t>
      </w:r>
    </w:p>
    <w:p>
      <w:r>
        <w:rPr>
          <w:b w:val="0"/>
          <w:i w:val="0"/>
        </w:rPr>
        <w:t>This finding is relevant to simplified protocols that use MUAC alone for discharge. ComPAS was non-inferior on the Niger trial’s six-month outcome, but that outcome did not count moderate wasting by weight-for-height as a failure (Daures et al. 2025). The two findings are therefore compatible. Neither provides a randomised test of discharge criteria. Requiring a higher threshold could lengthen treatment and increase food use, caregiver burden and defaulting, so its net effect needs evaluation.</w:t>
      </w:r>
    </w:p>
    <w:p>
      <w:pPr>
        <w:pStyle w:val="Heading2"/>
      </w:pPr>
      <w:r>
        <w:t>Household support and follow-up</w:t>
      </w:r>
    </w:p>
    <w:p>
      <w:r>
        <w:rPr>
          <w:b w:val="0"/>
          <w:i w:val="0"/>
        </w:rPr>
        <w:t>Cash transfers may help families sustain recovery. In a cluster-randomised trial in the Democratic Republic of the Congo, households of children treated for uncomplicated severe acute malnutrition received US$40 a month for six months alongside standard treatment. The adjusted hazard ratios were 0.21 (0.11–0.41) for relapse to moderate acute malnutrition and 0.30 (0.16–0.58) for relapse to severe acute malnutrition. Defaulting fell from 6.0% to 1.4%, and the hazard of reaching full recovery increased (aHR 1.35, 95% CI 1.10–1.69) (Grellety et al. 2017). WHO conditionally recommends cash transfers alongside routine care to reduce relapse, based on moderate-certainty evidence. It makes no recommendation on cash transfers for preventing wasting (WHO 2023).</w:t>
      </w:r>
    </w:p>
    <w:p>
      <w:r>
        <w:rPr>
          <w:b w:val="0"/>
          <w:i w:val="0"/>
        </w:rPr>
        <w:t>The evidence is encouraging but rests on one trial in the 2023 systematic review of post-discharge interventions (Bliznashka et al. 2023). Transfers totalled US$240 per household before delivery costs, which is substantial relative to some treatment-cost estimates, although costs across studies are not directly comparable. The trial did not estimate cost-effectiveness. ScaleWorks would need to cost the full intervention in the proposed setting.</w:t>
      </w:r>
    </w:p>
    <w:p>
      <w:r>
        <w:rPr>
          <w:b w:val="0"/>
          <w:i w:val="0"/>
        </w:rPr>
        <w:t>Caregiver screening is another approach under evaluation. A feasibility trial in Burkina Faso randomised 200 caregiver–child pairs to weekly MUAC screening at home or standard follow-up. The primary outcome, time to detection of relapse, was inconclusive (HR 0.65, 95% CI 0.38–1.12). Hospitalisation or death was less frequent in the screening arm, at 3% versus 14%, but this was a secondary outcome in a small trial (Bountogo et al. 2026). A full-scale trial is registered as NCT06599580. Earlier detection and fewer relapses remain intended rather than established benefits.</w:t>
      </w:r>
    </w:p>
    <w:p>
      <w:r>
        <w:rPr>
          <w:b w:val="0"/>
          <w:i w:val="0"/>
        </w:rPr>
        <w:t>Illness also matters after discharge. In Mali, each additional day of illness per month of follow-up was associated with a 30% higher hazard of relapse (aHR 1.30, 95% CI 1.24–1.35) (Kangas et al. 2023; King et al. 2025). The evidence reviewed here does not identify a post-discharge package with an established effect on illness-associated relapse.</w:t>
      </w:r>
    </w:p>
    <w:p>
      <w:r>
        <w:rPr>
          <w:b w:val="0"/>
          <w:i w:val="0"/>
        </w:rPr>
        <w:t>Adding services does not guarantee better nutritional outcomes. In Malawi, a package of lipid-based nutrient supplement, deworming, zinc, a bed net and malaria chemoprophylaxis was provided after treatment for moderate acute malnutrition. Sustained recovery at one year was 56% in the intervention group and 53% in the control group, a difference that was not statistically significant (P = 0.38) (Stobaugh et al. 2017). Three trials of psychosocial stimulation in the 2023 systematic review also showed no consistent nutritional benefit, and none measured relapse (Bliznashka et al. 2023).</w:t>
      </w:r>
    </w:p>
    <w:p>
      <w:pPr>
        <w:pStyle w:val="Heading2"/>
      </w:pPr>
      <w:r>
        <w:t>Measuring sustained recovery</w:t>
      </w:r>
    </w:p>
    <w:p>
      <w:r>
        <w:rPr>
          <w:b w:val="0"/>
          <w:i w:val="0"/>
        </w:rPr>
        <w:t>Inconsistent definitions make relapse estimates difficult to compare. A review of 26 studies and programme reports found estimates ranging from 0% to 37% and identified the absence of a standard definition as a major limitation (Stobaugh et al. 2019). A programme designed for scale can help address this gap by following children over the six months after discharge, using a prespecified definition that includes both MUAC and weight-for-height. Mortality and loss to follow-up should be reported separately. A single assessment at month six would miss episodes that occurred earlier.</w:t>
      </w:r>
    </w:p>
    <w:p>
      <w:r>
        <w:rPr>
          <w:b w:val="0"/>
          <w:i w:val="0"/>
        </w:rPr>
        <w:t>ScaleWorks should review discharge practice against national and WHO recommendations and evaluate proposed changes in relation to both sustained recovery and resource use. Higher MUAC thresholds or additional anthropometric measures are options to assess, rather than proven low-cost solutions. Cash transfers could be considered where food insecurity is high and funding permits, with delivery costs included from the outset.</w:t>
      </w:r>
    </w:p>
    <w:p>
      <w:pPr>
        <w:pStyle w:val="Heading1"/>
        <w:pageBreakBefore/>
      </w:pPr>
      <w:r>
        <w:t>Implications for programme design</w:t>
      </w:r>
    </w:p>
    <w:p>
      <w:r>
        <w:rPr>
          <w:b w:val="0"/>
          <w:i w:val="0"/>
        </w:rPr>
        <w:t>The strongest case for action is to improve the continuity between identification and treatment. Screening at facility contacts, effective referral and community delivery can address different points at which children are missed. Evidence on community health worker delivery includes randomised and observational studies, but remains uncertain for several outcomes. Implementation should therefore include supervision and measures of actual treatment coverage, rather than relying on the number of children screened.</w:t>
      </w:r>
    </w:p>
    <w:p>
      <w:r>
        <w:rPr>
          <w:b w:val="0"/>
          <w:i w:val="0"/>
        </w:rPr>
        <w:t>Protocol simplification offers a way to reduce food use and some delivery complexity. Two large trials support ComPAS for particular populations and outcomes, while the Niger severe-case findings show why a single recommendation for all children would be premature. The selected protocol should be explicit about eligibility, dosing, attendance support and discharge, and agreed with national authorities.</w:t>
      </w:r>
    </w:p>
    <w:p>
      <w:r>
        <w:rPr>
          <w:b w:val="0"/>
          <w:i w:val="0"/>
        </w:rPr>
        <w:t>Sustained recovery needs to be an outcome of programme design from the beginning. Evidence on discharge status identifies children at risk, while cash transfers and caregiver screening offer approaches that warrant further evaluation. Decisions about extending treatment or adding household support should consider their costs alongside recovery, relapse and the burden on families.</w:t>
      </w:r>
    </w:p>
    <w:p>
      <w:r>
        <w:rPr>
          <w:b w:val="0"/>
          <w:i w:val="0"/>
        </w:rPr>
        <w:t>Caregiver wellbeing is a further area to follow. A randomised trial in Gombe State is testing whether WHO’s Problem Management Plus, delivered by community health workers to caregivers with depressive symptoms alongside standard CMAM, improves child recovery and growth (Park, Zhao and Ostrowski, working paper; AEA RCT Registry 13766). Results are not yet public. This question complements the evidence on delivery, dosing and household support reviewed here.</w:t>
      </w:r>
    </w:p>
    <w:p>
      <w:pPr>
        <w:pStyle w:val="Heading1"/>
      </w:pPr>
      <w:r>
        <w:t>About this review</w:t>
      </w:r>
    </w:p>
    <w:p>
      <w:r>
        <w:rPr>
          <w:b w:val="0"/>
          <w:i w:val="0"/>
        </w:rPr>
        <w:t>This is a narrative evidence review. It draws on CEGA’s evidence-synthesis pipeline for CMAM, comprising 239 on-topic records, including 32 randomised trials, supplemented by targeted searches for recent trials, guidelines and economic evaluations conducted in August and September 2026. Figures were checked against their cited sources. Certainty ratings are those assigned by the source authors or WHO; no new GRADE assessment was performed.</w:t>
      </w:r>
    </w:p>
    <w:p>
      <w:pPr>
        <w:pStyle w:val="Caption"/>
      </w:pPr>
      <w:r>
        <w:rPr>
          <w:b/>
          <w:i w:val="0"/>
        </w:rPr>
        <w:t>Abbreviations</w:t>
      </w:r>
    </w:p>
    <w:p>
      <w:r>
        <w:rPr>
          <w:b w:val="0"/>
          <w:i w:val="0"/>
        </w:rPr>
        <w:t>CMAM, community-based management of acute malnutrition; SAM, severe acute malnutrition; MAM, moderate acute malnutrition; MUAC, mid-upper arm circumference; RUTF, ready-to-use therapeutic food; RUSF, ready-to-use supplementary food; CHW, community health worker; RCT, randomised controlled trial; RR, risk ratio; HR, hazard ratio; aHR, adjusted hazard ratio; CI, confidence interval; DALY, disability-adjusted life-year.</w:t>
      </w:r>
    </w:p>
    <w:p>
      <w:pPr>
        <w:pStyle w:val="Heading1"/>
        <w:pageBreakBefore/>
      </w:pPr>
      <w:r>
        <w:t>References</w:t>
      </w:r>
    </w:p>
    <w:p>
      <w:pPr>
        <w:keepLines/>
        <w:spacing w:after="120" w:line="259" w:lineRule="auto"/>
        <w:ind w:left="259" w:hanging="259"/>
      </w:pPr>
      <w:r>
        <w:rPr>
          <w:b w:val="0"/>
          <w:i w:val="0"/>
          <w:sz w:val="19"/>
        </w:rPr>
        <w:t xml:space="preserve">Alvarez Morán JL, Alé GBF, Charle P, et al. The effectiveness of treatment for severe acute malnutrition (SAM) delivered by community health workers compared to a traditional facility based model. </w:t>
      </w:r>
      <w:r>
        <w:rPr>
          <w:b w:val="0"/>
          <w:i/>
          <w:sz w:val="19"/>
        </w:rPr>
        <w:t>BMC Health Services Research</w:t>
      </w:r>
      <w:r>
        <w:rPr>
          <w:b w:val="0"/>
          <w:i w:val="0"/>
          <w:sz w:val="19"/>
        </w:rPr>
        <w:t xml:space="preserve"> 2018;18(1):207. doi:10.1186/s12913-018-2987-z</w:t>
      </w:r>
    </w:p>
    <w:p>
      <w:pPr>
        <w:keepLines/>
        <w:spacing w:after="120" w:line="259" w:lineRule="auto"/>
        <w:ind w:left="259" w:hanging="259"/>
      </w:pPr>
      <w:r>
        <w:rPr>
          <w:b w:val="0"/>
          <w:i w:val="0"/>
          <w:sz w:val="19"/>
        </w:rPr>
        <w:t xml:space="preserve">Bailey J, Opondo C, Lelijveld N, et al. A simplified, combined protocol versus standard treatment for acute malnutrition in children 6–59 months (ComPAS trial): a cluster-randomized controlled non-inferiority trial in Kenya and South Sudan. </w:t>
      </w:r>
      <w:r>
        <w:rPr>
          <w:b w:val="0"/>
          <w:i/>
          <w:sz w:val="19"/>
        </w:rPr>
        <w:t>PLoS Medicine</w:t>
      </w:r>
      <w:r>
        <w:rPr>
          <w:b w:val="0"/>
          <w:i w:val="0"/>
          <w:sz w:val="19"/>
        </w:rPr>
        <w:t xml:space="preserve"> 2020;17(7):e1003192. PMID 32645109.</w:t>
      </w:r>
    </w:p>
    <w:p>
      <w:pPr>
        <w:keepLines/>
        <w:spacing w:after="120" w:line="259" w:lineRule="auto"/>
        <w:ind w:left="259" w:hanging="259"/>
      </w:pPr>
      <w:r>
        <w:rPr>
          <w:b w:val="0"/>
          <w:i w:val="0"/>
          <w:sz w:val="19"/>
        </w:rPr>
        <w:t xml:space="preserve">Bliznashka L, Rattigan SM, Sudfeld CR, et al. Analysis of postdischarge interventions for children treated for moderate or severe wasting, growth faltering or failure, or edema: a systematic review. </w:t>
      </w:r>
      <w:r>
        <w:rPr>
          <w:b w:val="0"/>
          <w:i/>
          <w:sz w:val="19"/>
        </w:rPr>
        <w:t>JAMA Network Open</w:t>
      </w:r>
      <w:r>
        <w:rPr>
          <w:b w:val="0"/>
          <w:i w:val="0"/>
          <w:sz w:val="19"/>
        </w:rPr>
        <w:t xml:space="preserve"> 2023;6(5):e2315077. doi:10.1001/jamanetworkopen.2023.15077</w:t>
      </w:r>
    </w:p>
    <w:p>
      <w:pPr>
        <w:keepLines/>
        <w:spacing w:after="120" w:line="259" w:lineRule="auto"/>
        <w:ind w:left="259" w:hanging="259"/>
      </w:pPr>
      <w:r>
        <w:rPr>
          <w:b w:val="0"/>
          <w:i w:val="0"/>
          <w:sz w:val="19"/>
        </w:rPr>
        <w:t xml:space="preserve">Bountogo M, Dah C, Ouédraogo M, et al. Caregiver screening for relapse among children recently recovered from severe acute malnutrition: a randomized controlled feasibility trial. </w:t>
      </w:r>
      <w:r>
        <w:rPr>
          <w:b w:val="0"/>
          <w:i/>
          <w:sz w:val="19"/>
        </w:rPr>
        <w:t>Maternal &amp; Child Nutrition</w:t>
      </w:r>
      <w:r>
        <w:rPr>
          <w:b w:val="0"/>
          <w:i w:val="0"/>
          <w:sz w:val="19"/>
        </w:rPr>
        <w:t xml:space="preserve"> 2026;22(1):e70160. doi:10.1111/mcn.70160</w:t>
      </w:r>
    </w:p>
    <w:p>
      <w:pPr>
        <w:keepLines/>
        <w:spacing w:after="120" w:line="259" w:lineRule="auto"/>
        <w:ind w:left="259" w:hanging="259"/>
      </w:pPr>
      <w:r>
        <w:rPr>
          <w:b w:val="0"/>
          <w:i w:val="0"/>
          <w:sz w:val="19"/>
        </w:rPr>
        <w:t xml:space="preserve">Cichon B, López-Ejeda N, Samake S, et al. Cost-effectiveness of decentralising acute malnutrition treatment with a standard or simplified treatment protocol: an economic evaluation in the region of Gao, Mali. </w:t>
      </w:r>
      <w:r>
        <w:rPr>
          <w:b w:val="0"/>
          <w:i/>
          <w:sz w:val="19"/>
        </w:rPr>
        <w:t>BMC Public Health</w:t>
      </w:r>
      <w:r>
        <w:rPr>
          <w:b w:val="0"/>
          <w:i w:val="0"/>
          <w:sz w:val="19"/>
        </w:rPr>
        <w:t xml:space="preserve"> 2025;25(1):233. doi:10.1186/s12889-025-21411-5</w:t>
      </w:r>
    </w:p>
    <w:p>
      <w:pPr>
        <w:keepLines/>
        <w:spacing w:after="120" w:line="259" w:lineRule="auto"/>
        <w:ind w:left="259" w:hanging="259"/>
      </w:pPr>
      <w:r>
        <w:rPr>
          <w:b w:val="0"/>
          <w:i w:val="0"/>
          <w:sz w:val="19"/>
        </w:rPr>
        <w:t xml:space="preserve">Dalglish SL, Seni Badou M, Sirat A, et al. Combined protocol for severe and moderate acute malnutrition in emergencies: stakeholders perspectives in four countries. </w:t>
      </w:r>
      <w:r>
        <w:rPr>
          <w:b w:val="0"/>
          <w:i/>
          <w:sz w:val="19"/>
        </w:rPr>
        <w:t>Maternal &amp; Child Nutrition</w:t>
      </w:r>
      <w:r>
        <w:rPr>
          <w:b w:val="0"/>
          <w:i w:val="0"/>
          <w:sz w:val="19"/>
        </w:rPr>
        <w:t xml:space="preserve"> 2020;16(2):e12920. doi:10.1111/mcn.12920</w:t>
      </w:r>
    </w:p>
    <w:p>
      <w:pPr>
        <w:keepLines/>
        <w:spacing w:after="120" w:line="259" w:lineRule="auto"/>
        <w:ind w:left="259" w:hanging="259"/>
      </w:pPr>
      <w:r>
        <w:rPr>
          <w:b w:val="0"/>
          <w:i w:val="0"/>
          <w:sz w:val="19"/>
        </w:rPr>
        <w:t xml:space="preserve">Daures M, Hien J, Phelan K, et al. Optimizing management of uncomplicated acute malnutrition in children in rural Niger: a 3-arm individually randomized, controlled, noninferiority trial. </w:t>
      </w:r>
      <w:r>
        <w:rPr>
          <w:b w:val="0"/>
          <w:i/>
          <w:sz w:val="19"/>
        </w:rPr>
        <w:t>American Journal of Clinical Nutrition</w:t>
      </w:r>
      <w:r>
        <w:rPr>
          <w:b w:val="0"/>
          <w:i w:val="0"/>
          <w:sz w:val="19"/>
        </w:rPr>
        <w:t xml:space="preserve"> 2025;122(4):972–985. PMID 41043877.</w:t>
      </w:r>
    </w:p>
    <w:p>
      <w:pPr>
        <w:keepLines/>
        <w:spacing w:after="120" w:line="259" w:lineRule="auto"/>
        <w:ind w:left="259" w:hanging="259"/>
      </w:pPr>
      <w:r>
        <w:rPr>
          <w:b w:val="0"/>
          <w:i w:val="0"/>
          <w:sz w:val="19"/>
        </w:rPr>
        <w:t xml:space="preserve">FAO, UNHCR, UNICEF, WFP, WHO. </w:t>
      </w:r>
      <w:r>
        <w:rPr>
          <w:b w:val="0"/>
          <w:i/>
          <w:sz w:val="19"/>
        </w:rPr>
        <w:t>Global Action Plan on Child Wasting: a framework for action to accelerate progress in preventing and managing child wasting and the achievement of the Sustainable Development Goals.</w:t>
      </w:r>
      <w:r>
        <w:rPr>
          <w:b w:val="0"/>
          <w:i w:val="0"/>
          <w:sz w:val="19"/>
        </w:rPr>
        <w:t xml:space="preserve"> 2020.</w:t>
      </w:r>
    </w:p>
    <w:p>
      <w:pPr>
        <w:keepLines/>
        <w:spacing w:after="120" w:line="259" w:lineRule="auto"/>
        <w:ind w:left="259" w:hanging="259"/>
      </w:pPr>
      <w:r>
        <w:rPr>
          <w:b w:val="0"/>
          <w:i w:val="0"/>
          <w:sz w:val="19"/>
        </w:rPr>
        <w:t xml:space="preserve">GiveWell. </w:t>
      </w:r>
      <w:r>
        <w:rPr>
          <w:b w:val="0"/>
          <w:i/>
          <w:sz w:val="19"/>
        </w:rPr>
        <w:t>Taimaka: acute malnutrition treatment in Gombe State, Nigeria (November 2024) and program monitoring (March 2025).</w:t>
      </w:r>
      <w:r>
        <w:rPr>
          <w:b w:val="0"/>
          <w:i w:val="0"/>
          <w:sz w:val="19"/>
        </w:rPr>
        <w:t xml:space="preserve"> Accessed September 2026.</w:t>
      </w:r>
    </w:p>
    <w:p>
      <w:pPr>
        <w:keepLines/>
        <w:spacing w:after="120" w:line="259" w:lineRule="auto"/>
        <w:ind w:left="259" w:hanging="259"/>
      </w:pPr>
      <w:r>
        <w:rPr>
          <w:b w:val="0"/>
          <w:i w:val="0"/>
          <w:sz w:val="19"/>
        </w:rPr>
        <w:t xml:space="preserve">Grellety E, Babakazo P, Bangana A, et al. Effects of unconditional cash transfers on the outcome of treatment for severe acute malnutrition (SAM): a cluster-randomised trial in the Democratic Republic of the Congo. </w:t>
      </w:r>
      <w:r>
        <w:rPr>
          <w:b w:val="0"/>
          <w:i/>
          <w:sz w:val="19"/>
        </w:rPr>
        <w:t>BMC Medicine</w:t>
      </w:r>
      <w:r>
        <w:rPr>
          <w:b w:val="0"/>
          <w:i w:val="0"/>
          <w:sz w:val="19"/>
        </w:rPr>
        <w:t xml:space="preserve"> 2017;15(1):87. PMID 28441944.</w:t>
      </w:r>
    </w:p>
    <w:p>
      <w:pPr>
        <w:keepLines/>
        <w:spacing w:after="120" w:line="259" w:lineRule="auto"/>
        <w:ind w:left="259" w:hanging="259"/>
      </w:pPr>
      <w:r>
        <w:rPr>
          <w:b w:val="0"/>
          <w:i w:val="0"/>
          <w:sz w:val="19"/>
        </w:rPr>
        <w:t xml:space="preserve">Guesdon B, Rattigan SM, Grellety E, et al. Relevance of more stringent discharge standards for acute malnutrition treatment: a pooled analysis of posttreatment relapse in 21 studies. </w:t>
      </w:r>
      <w:r>
        <w:rPr>
          <w:b w:val="0"/>
          <w:i/>
          <w:sz w:val="19"/>
        </w:rPr>
        <w:t>American Journal of Clinical Nutrition</w:t>
      </w:r>
      <w:r>
        <w:rPr>
          <w:b w:val="0"/>
          <w:i w:val="0"/>
          <w:sz w:val="19"/>
        </w:rPr>
        <w:t xml:space="preserve"> 2026;123(5):101264. doi:10.1016/j.ajcnut.2026.101264. PMID 41825529.</w:t>
      </w:r>
    </w:p>
    <w:p>
      <w:pPr>
        <w:keepLines/>
        <w:spacing w:after="120" w:line="259" w:lineRule="auto"/>
        <w:ind w:left="259" w:hanging="259"/>
      </w:pPr>
      <w:r>
        <w:rPr>
          <w:b w:val="0"/>
          <w:i w:val="0"/>
          <w:sz w:val="19"/>
        </w:rPr>
        <w:t xml:space="preserve">Huybregts L, Le Port A, Becquey E, et al. Impact on child acute malnutrition of integrating small-quantity lipid-based nutrient supplements into community-level screening for acute malnutrition: a cluster-randomized controlled trial in Mali. </w:t>
      </w:r>
      <w:r>
        <w:rPr>
          <w:b w:val="0"/>
          <w:i/>
          <w:sz w:val="19"/>
        </w:rPr>
        <w:t>PLoS Medicine</w:t>
      </w:r>
      <w:r>
        <w:rPr>
          <w:b w:val="0"/>
          <w:i w:val="0"/>
          <w:sz w:val="19"/>
        </w:rPr>
        <w:t xml:space="preserve"> 2019;16(8):e1002892. PMID 31454356.</w:t>
      </w:r>
    </w:p>
    <w:p>
      <w:pPr>
        <w:keepLines/>
        <w:spacing w:after="120" w:line="259" w:lineRule="auto"/>
        <w:ind w:left="259" w:hanging="259"/>
      </w:pPr>
      <w:r>
        <w:rPr>
          <w:b w:val="0"/>
          <w:i w:val="0"/>
          <w:sz w:val="19"/>
        </w:rPr>
        <w:t>IA partner feedback. Technical expert feedback on the initial intervention synthesis, Impact Alliance member organisations. Unpublished, July 2026.</w:t>
      </w:r>
    </w:p>
    <w:p>
      <w:pPr>
        <w:keepLines/>
        <w:spacing w:after="120" w:line="259" w:lineRule="auto"/>
        <w:ind w:left="259" w:hanging="259"/>
      </w:pPr>
      <w:r>
        <w:rPr>
          <w:b w:val="0"/>
          <w:i w:val="0"/>
          <w:sz w:val="19"/>
        </w:rPr>
        <w:t xml:space="preserve">Kangas ST, Coulibaly IN, Tausanovitch Z, et al. Post-recovery relapse of children treated with a simplified, combined nutrition treatment protocol in Mali: a prospective cohort study. </w:t>
      </w:r>
      <w:r>
        <w:rPr>
          <w:b w:val="0"/>
          <w:i/>
          <w:sz w:val="19"/>
        </w:rPr>
        <w:t>Nutrients</w:t>
      </w:r>
      <w:r>
        <w:rPr>
          <w:b w:val="0"/>
          <w:i w:val="0"/>
          <w:sz w:val="19"/>
        </w:rPr>
        <w:t xml:space="preserve"> 2023;15(11):2636. doi:10.3390/nu15112636</w:t>
      </w:r>
    </w:p>
    <w:p>
      <w:pPr>
        <w:keepLines/>
        <w:spacing w:after="120" w:line="259" w:lineRule="auto"/>
        <w:ind w:left="259" w:hanging="259"/>
      </w:pPr>
      <w:r>
        <w:rPr>
          <w:b w:val="0"/>
          <w:i w:val="0"/>
          <w:sz w:val="19"/>
        </w:rPr>
        <w:t xml:space="preserve">Kangas ST, Salpéteur C, Nikièma V, et al. Impact of reduced dose of ready-to-use therapeutic foods in children with uncomplicated severe acute malnutrition (MANGO trial). </w:t>
      </w:r>
      <w:r>
        <w:rPr>
          <w:b w:val="0"/>
          <w:i/>
          <w:sz w:val="19"/>
        </w:rPr>
        <w:t>PLoS Medicine</w:t>
      </w:r>
      <w:r>
        <w:rPr>
          <w:b w:val="0"/>
          <w:i w:val="0"/>
          <w:sz w:val="19"/>
        </w:rPr>
        <w:t xml:space="preserve"> 2019;16(8):e1002887. PMID 31454351.</w:t>
      </w:r>
    </w:p>
    <w:p>
      <w:pPr>
        <w:keepLines/>
        <w:spacing w:after="120" w:line="259" w:lineRule="auto"/>
        <w:ind w:left="259" w:hanging="259"/>
      </w:pPr>
      <w:r>
        <w:rPr>
          <w:b w:val="0"/>
          <w:i w:val="0"/>
          <w:sz w:val="19"/>
        </w:rPr>
        <w:t xml:space="preserve">King S, Marshak A, D'Mello-Guyett L, et al. Rates and risk factors for relapse among children recovered from severe acute malnutrition in Mali, South Sudan, and Somalia: a prospective cohort study. </w:t>
      </w:r>
      <w:r>
        <w:rPr>
          <w:b w:val="0"/>
          <w:i/>
          <w:sz w:val="19"/>
        </w:rPr>
        <w:t>Lancet Global Health</w:t>
      </w:r>
      <w:r>
        <w:rPr>
          <w:b w:val="0"/>
          <w:i w:val="0"/>
          <w:sz w:val="19"/>
        </w:rPr>
        <w:t xml:space="preserve"> 2025;13(1):e98–e111. PMID 39706667.</w:t>
      </w:r>
    </w:p>
    <w:p>
      <w:pPr>
        <w:keepLines/>
        <w:spacing w:after="120" w:line="259" w:lineRule="auto"/>
        <w:ind w:left="259" w:hanging="259"/>
      </w:pPr>
      <w:r>
        <w:rPr>
          <w:b w:val="0"/>
          <w:i w:val="0"/>
          <w:sz w:val="19"/>
        </w:rPr>
        <w:t xml:space="preserve">López-Ejeda N, Charle-Cuéllar P, Samake S, et al. Effectiveness of decentralizing outpatient acute malnutrition treatment with community health workers and a simplified combined protocol: a cluster randomized controlled trial in emergency settings of Mali. </w:t>
      </w:r>
      <w:r>
        <w:rPr>
          <w:b w:val="0"/>
          <w:i/>
          <w:sz w:val="19"/>
        </w:rPr>
        <w:t>Frontiers in Public Health</w:t>
      </w:r>
      <w:r>
        <w:rPr>
          <w:b w:val="0"/>
          <w:i w:val="0"/>
          <w:sz w:val="19"/>
        </w:rPr>
        <w:t xml:space="preserve"> 2024;12:1283148. doi:10.3389/fpubh.2024.1283148</w:t>
      </w:r>
    </w:p>
    <w:p>
      <w:pPr>
        <w:keepLines/>
        <w:spacing w:after="120" w:line="259" w:lineRule="auto"/>
        <w:ind w:left="259" w:hanging="259"/>
      </w:pPr>
      <w:r>
        <w:rPr>
          <w:b w:val="0"/>
          <w:i w:val="0"/>
          <w:sz w:val="19"/>
        </w:rPr>
        <w:t xml:space="preserve">Odjidja EN, Christensen C, Gatasi G, et al. 2030 countdown to combating malnutrition in Burundi: comparison of proactive approaches for case detection and enrolment into treatment. </w:t>
      </w:r>
      <w:r>
        <w:rPr>
          <w:b w:val="0"/>
          <w:i/>
          <w:sz w:val="19"/>
        </w:rPr>
        <w:t>International Health</w:t>
      </w:r>
      <w:r>
        <w:rPr>
          <w:b w:val="0"/>
          <w:i w:val="0"/>
          <w:sz w:val="19"/>
        </w:rPr>
        <w:t xml:space="preserve"> 2022;14(4):413–420. PMID 32003813.</w:t>
      </w:r>
    </w:p>
    <w:p>
      <w:pPr>
        <w:keepLines/>
        <w:spacing w:after="120" w:line="259" w:lineRule="auto"/>
        <w:ind w:left="259" w:hanging="259"/>
      </w:pPr>
      <w:r>
        <w:rPr>
          <w:b w:val="0"/>
          <w:i w:val="0"/>
          <w:sz w:val="19"/>
        </w:rPr>
        <w:t xml:space="preserve">Olofin I, McDonald CM, Ezzati M, et al. Associations of suboptimal growth with all-cause and cause-specific mortality in children under five years: a pooled analysis of ten prospective studies. </w:t>
      </w:r>
      <w:r>
        <w:rPr>
          <w:b w:val="0"/>
          <w:i/>
          <w:sz w:val="19"/>
        </w:rPr>
        <w:t>PLoS One</w:t>
      </w:r>
      <w:r>
        <w:rPr>
          <w:b w:val="0"/>
          <w:i w:val="0"/>
          <w:sz w:val="19"/>
        </w:rPr>
        <w:t xml:space="preserve"> 2013;8(5):e64636. PMID 23734210.</w:t>
      </w:r>
    </w:p>
    <w:p>
      <w:pPr>
        <w:keepLines/>
        <w:spacing w:after="120" w:line="259" w:lineRule="auto"/>
        <w:ind w:left="259" w:hanging="259"/>
      </w:pPr>
      <w:r>
        <w:rPr>
          <w:b w:val="0"/>
          <w:i w:val="0"/>
          <w:sz w:val="19"/>
        </w:rPr>
        <w:t xml:space="preserve">Papadopoulou E, Lim YC, Chin WY, et al. Lay health workers in primary and community health care for maternal and child health: identification and treatment of wasting in children. </w:t>
      </w:r>
      <w:r>
        <w:rPr>
          <w:b w:val="0"/>
          <w:i/>
          <w:sz w:val="19"/>
        </w:rPr>
        <w:t>Cochrane Database of Systematic Reviews</w:t>
      </w:r>
      <w:r>
        <w:rPr>
          <w:b w:val="0"/>
          <w:i w:val="0"/>
          <w:sz w:val="19"/>
        </w:rPr>
        <w:t xml:space="preserve"> 2023;8:CD015311. doi:10.1002/14651858.CD015311. PMID 37646367.</w:t>
      </w:r>
    </w:p>
    <w:p>
      <w:pPr>
        <w:keepLines/>
        <w:spacing w:after="120" w:line="259" w:lineRule="auto"/>
        <w:ind w:left="259" w:hanging="259"/>
      </w:pPr>
      <w:r>
        <w:rPr>
          <w:b w:val="0"/>
          <w:i w:val="0"/>
          <w:sz w:val="19"/>
        </w:rPr>
        <w:t>Park S. Addressing maternal mental health and child undernutrition in Nigeria through psychological support. AEA RCT Registry, trial 13766. Accessed September 2026.</w:t>
      </w:r>
    </w:p>
    <w:p>
      <w:pPr>
        <w:keepLines/>
        <w:spacing w:after="120" w:line="259" w:lineRule="auto"/>
        <w:ind w:left="259" w:hanging="259"/>
      </w:pPr>
      <w:r>
        <w:rPr>
          <w:b w:val="0"/>
          <w:i w:val="0"/>
          <w:sz w:val="19"/>
        </w:rPr>
        <w:t>Park S, Zhao M, Ostrowski J. Can psychological support for caregivers improve child growth? Evidence from malnutrition treatment in Nigeria. Working paper, listed on the author's website; accessed September 2026.</w:t>
      </w:r>
    </w:p>
    <w:p>
      <w:pPr>
        <w:keepLines/>
        <w:spacing w:after="120" w:line="259" w:lineRule="auto"/>
        <w:ind w:left="259" w:hanging="259"/>
      </w:pPr>
      <w:r>
        <w:rPr>
          <w:b w:val="0"/>
          <w:i w:val="0"/>
          <w:sz w:val="19"/>
        </w:rPr>
        <w:t xml:space="preserve">Puett C, King S, Mama Chabi S, et al. The economic implications of relapse among children recovered from severe acute malnutrition: results from a multicountry prospective study in Mali, Somalia, and South Sudan. </w:t>
      </w:r>
      <w:r>
        <w:rPr>
          <w:b w:val="0"/>
          <w:i/>
          <w:sz w:val="19"/>
        </w:rPr>
        <w:t>Current Developments in Nutrition</w:t>
      </w:r>
      <w:r>
        <w:rPr>
          <w:b w:val="0"/>
          <w:i w:val="0"/>
          <w:sz w:val="19"/>
        </w:rPr>
        <w:t xml:space="preserve"> 2026;10(1):107616. doi:10.1016/j.cdnut.2025.107616</w:t>
      </w:r>
    </w:p>
    <w:p>
      <w:pPr>
        <w:keepLines/>
        <w:spacing w:after="120" w:line="259" w:lineRule="auto"/>
        <w:ind w:left="259" w:hanging="259"/>
      </w:pPr>
      <w:r>
        <w:rPr>
          <w:b w:val="0"/>
          <w:i w:val="0"/>
          <w:sz w:val="19"/>
        </w:rPr>
        <w:t xml:space="preserve">Rogers E, Myatt M, Woodhead S, Guerrero S, Alvarez JL. Coverage of community-based management of severe acute malnutrition programmes in twenty-one countries, 2012–2013. </w:t>
      </w:r>
      <w:r>
        <w:rPr>
          <w:b w:val="0"/>
          <w:i/>
          <w:sz w:val="19"/>
        </w:rPr>
        <w:t>PLoS ONE</w:t>
      </w:r>
      <w:r>
        <w:rPr>
          <w:b w:val="0"/>
          <w:i w:val="0"/>
          <w:sz w:val="19"/>
        </w:rPr>
        <w:t xml:space="preserve"> 2015;10(6):e0128666.</w:t>
      </w:r>
    </w:p>
    <w:p>
      <w:pPr>
        <w:keepLines/>
        <w:spacing w:after="120" w:line="259" w:lineRule="auto"/>
        <w:ind w:left="259" w:hanging="259"/>
      </w:pPr>
      <w:r>
        <w:rPr>
          <w:b w:val="0"/>
          <w:i w:val="0"/>
          <w:sz w:val="19"/>
        </w:rPr>
        <w:t xml:space="preserve">Rogers E, Guerrero S, Kumar D, et al. Evaluation of the cost-effectiveness of the treatment of uncomplicated severe acute malnutrition by lady health workers as compared to an outpatient therapeutic feeding programme in Sindh Province, Pakistan. </w:t>
      </w:r>
      <w:r>
        <w:rPr>
          <w:b w:val="0"/>
          <w:i/>
          <w:sz w:val="19"/>
        </w:rPr>
        <w:t>BMC Public Health</w:t>
      </w:r>
      <w:r>
        <w:rPr>
          <w:b w:val="0"/>
          <w:i w:val="0"/>
          <w:sz w:val="19"/>
        </w:rPr>
        <w:t xml:space="preserve"> 2019;19(1):84. PMID 30654780.</w:t>
      </w:r>
    </w:p>
    <w:p>
      <w:pPr>
        <w:keepLines/>
        <w:spacing w:after="120" w:line="259" w:lineRule="auto"/>
        <w:ind w:left="259" w:hanging="259"/>
      </w:pPr>
      <w:r>
        <w:rPr>
          <w:b w:val="0"/>
          <w:i w:val="0"/>
          <w:sz w:val="19"/>
        </w:rPr>
        <w:t xml:space="preserve">Schoonees A, Lombard MJ, Musekiwa A, Nel E, Volmink J. Ready-to-use therapeutic food (RUTF) for home-based nutritional rehabilitation of severe acute malnutrition in children from six months to five years of age. </w:t>
      </w:r>
      <w:r>
        <w:rPr>
          <w:b w:val="0"/>
          <w:i/>
          <w:sz w:val="19"/>
        </w:rPr>
        <w:t>Cochrane Database of Systematic Reviews</w:t>
      </w:r>
      <w:r>
        <w:rPr>
          <w:b w:val="0"/>
          <w:i w:val="0"/>
          <w:sz w:val="19"/>
        </w:rPr>
        <w:t xml:space="preserve"> 2019;5:CD009000. PMID 31090070.</w:t>
      </w:r>
    </w:p>
    <w:p>
      <w:pPr>
        <w:keepLines/>
        <w:spacing w:after="120" w:line="259" w:lineRule="auto"/>
        <w:ind w:left="259" w:hanging="259"/>
      </w:pPr>
      <w:r>
        <w:rPr>
          <w:b w:val="0"/>
          <w:i w:val="0"/>
          <w:sz w:val="19"/>
        </w:rPr>
        <w:t xml:space="preserve">Stobaugh HC, Bollinger LB, Adams SE, et al. Effect of a package of health and nutrition services on sustained recovery in children after moderate acute malnutrition and factors related to sustaining recovery: a cluster-randomized trial. </w:t>
      </w:r>
      <w:r>
        <w:rPr>
          <w:b w:val="0"/>
          <w:i/>
          <w:sz w:val="19"/>
        </w:rPr>
        <w:t>American Journal of Clinical Nutrition</w:t>
      </w:r>
      <w:r>
        <w:rPr>
          <w:b w:val="0"/>
          <w:i w:val="0"/>
          <w:sz w:val="19"/>
        </w:rPr>
        <w:t xml:space="preserve"> 2017;106(2):657–666. doi:10.3945/ajcn.116.149799</w:t>
      </w:r>
    </w:p>
    <w:p>
      <w:pPr>
        <w:keepLines/>
        <w:spacing w:after="120" w:line="259" w:lineRule="auto"/>
        <w:ind w:left="259" w:hanging="259"/>
      </w:pPr>
      <w:r>
        <w:rPr>
          <w:b w:val="0"/>
          <w:i w:val="0"/>
          <w:sz w:val="19"/>
        </w:rPr>
        <w:t xml:space="preserve">Stobaugh HC, Mayberry A, McGrath M, et al. Relapse after severe acute malnutrition: a systematic literature review and secondary data analysis. </w:t>
      </w:r>
      <w:r>
        <w:rPr>
          <w:b w:val="0"/>
          <w:i/>
          <w:sz w:val="19"/>
        </w:rPr>
        <w:t>Maternal &amp; Child Nutrition</w:t>
      </w:r>
      <w:r>
        <w:rPr>
          <w:b w:val="0"/>
          <w:i w:val="0"/>
          <w:sz w:val="19"/>
        </w:rPr>
        <w:t xml:space="preserve"> 2019;15(2):e12702. doi:10.1111/mcn.12702</w:t>
      </w:r>
    </w:p>
    <w:p>
      <w:pPr>
        <w:keepLines/>
        <w:spacing w:after="120" w:line="259" w:lineRule="auto"/>
        <w:ind w:left="259" w:hanging="259"/>
      </w:pPr>
      <w:r>
        <w:rPr>
          <w:b w:val="0"/>
          <w:i w:val="0"/>
          <w:sz w:val="19"/>
        </w:rPr>
        <w:t xml:space="preserve">UNICEF, World Health Organization, World Bank Group. </w:t>
      </w:r>
      <w:r>
        <w:rPr>
          <w:b w:val="0"/>
          <w:i/>
          <w:sz w:val="19"/>
        </w:rPr>
        <w:t>Levels and trends in child malnutrition: Joint Child Malnutrition Estimates</w:t>
      </w:r>
      <w:r>
        <w:rPr>
          <w:b w:val="0"/>
          <w:i w:val="0"/>
          <w:sz w:val="19"/>
        </w:rPr>
        <w:t>, 2025 edition.</w:t>
      </w:r>
    </w:p>
    <w:p>
      <w:pPr>
        <w:keepLines/>
        <w:spacing w:after="120" w:line="259" w:lineRule="auto"/>
        <w:ind w:left="259" w:hanging="259"/>
      </w:pPr>
      <w:r>
        <w:rPr>
          <w:b w:val="0"/>
          <w:i w:val="0"/>
          <w:sz w:val="19"/>
        </w:rPr>
        <w:t xml:space="preserve">World Bank. </w:t>
      </w:r>
      <w:r>
        <w:rPr>
          <w:b w:val="0"/>
          <w:i/>
          <w:sz w:val="19"/>
        </w:rPr>
        <w:t>World Development Indicators</w:t>
      </w:r>
      <w:r>
        <w:rPr>
          <w:b w:val="0"/>
          <w:i w:val="0"/>
          <w:sz w:val="19"/>
        </w:rPr>
        <w:t>, prevalence of wasting (SH.STA.WAST.ZS). Accessed September 2026.</w:t>
      </w:r>
    </w:p>
    <w:p>
      <w:pPr>
        <w:keepLines/>
        <w:spacing w:after="120" w:line="259" w:lineRule="auto"/>
        <w:ind w:left="259" w:hanging="259"/>
      </w:pPr>
      <w:r>
        <w:rPr>
          <w:b w:val="0"/>
          <w:i w:val="0"/>
          <w:sz w:val="19"/>
        </w:rPr>
        <w:t xml:space="preserve">World Health Organization. </w:t>
      </w:r>
      <w:r>
        <w:rPr>
          <w:b w:val="0"/>
          <w:i/>
          <w:sz w:val="19"/>
        </w:rPr>
        <w:t>WHO guideline on the prevention and management of wasting and nutritional oedema (acute malnutrition) in infants and children under 5 years.</w:t>
      </w:r>
      <w:r>
        <w:rPr>
          <w:b w:val="0"/>
          <w:i w:val="0"/>
          <w:sz w:val="19"/>
        </w:rPr>
        <w:t xml:space="preserve"> Geneva: WHO, 2023.</w:t>
      </w:r>
    </w:p>
    <w:sectPr w:rsidR="00FC693F" w:rsidRPr="0006063C" w:rsidSect="00034616">
      <w:footerReference w:type="default" r:id="rId9"/>
      <w:pgSz w:w="11905" w:h="16838"/>
      <w:pgMar w:top="1123" w:right="1210" w:bottom="1123" w:left="121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pPr>
    <w:rPr>
      <w:rFonts w:asciiTheme="majorHAnsi" w:eastAsiaTheme="majorEastAsia" w:hAnsiTheme="majorHAnsi" w:cstheme="majorBidi" w:ascii="Arial" w:hAnsi="Arial"/>
      <w:b/>
      <w:color w:val="000000"/>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00"/>
    </w:pPr>
    <w:rPr>
      <w:rFonts w:asciiTheme="majorHAnsi" w:eastAsiaTheme="majorEastAsia" w:hAnsiTheme="majorHAnsi" w:cstheme="majorBidi" w:ascii="Arial" w:hAnsi="Arial"/>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Treating Child Wasting at Scale</dc:title>
  <dc:subject>Evidence to inform a ScaleWorks programme for community based management of acute malnutrition</dc:subject>
  <dc:creator/>
  <cp:keywords/>
  <dc:description/>
  <cp:lastModifiedBy/>
  <cp:revision>1</cp:revision>
  <dcterms:created xsi:type="dcterms:W3CDTF">2013-12-23T23:15:00Z</dcterms:created>
  <dcterms:modified xsi:type="dcterms:W3CDTF">2013-12-23T23:15:00Z</dcterms:modified>
  <cp:category/>
</cp:coreProperties>
</file>