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Treating Child Wasting at Scale</w:t>
      </w:r>
    </w:p>
    <w:p>
      <w:pPr>
        <w:pStyle w:val="Subtitle"/>
      </w:pPr>
      <w:r>
        <w:t xml:space="preserve">Evidence to inform a ScaleWorks programme for community-based management of acute malnutrition</w:t>
      </w:r>
    </w:p>
    <w:p>
      <w:pPr>
        <w:pStyle w:val="Date"/>
      </w:pPr>
      <w:r>
        <w:t xml:space="preserve">Draft 2 —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About this review.</w:t>
      </w:r>
      <w:r>
        <w:t xml:space="preserve"> </w:t>
      </w:r>
      <w:r>
        <w:t xml:space="preserve">This is a narrative evidence review, not a systematic review. It draws on CEGA’s</w:t>
      </w:r>
      <w:r>
        <w:t xml:space="preserve"> </w:t>
      </w:r>
      <w:r>
        <w:t xml:space="preserve">evidence-synthesis pipeline for community-based management of acute malnutrition — 239 on-topic records,</w:t>
      </w:r>
      <w:r>
        <w:t xml:space="preserve"> </w:t>
      </w:r>
      <w:r>
        <w:t xml:space="preserve">including 32 randomised trials — supplemented by targeted searches for recent trials, guidelines and</w:t>
      </w:r>
      <w:r>
        <w:t xml:space="preserve"> </w:t>
      </w:r>
      <w:r>
        <w:t xml:space="preserve">costings, conducted in August and September 2026. Every figure cited has been checked against its</w:t>
      </w:r>
      <w:r>
        <w:t xml:space="preserve"> </w:t>
      </w:r>
      <w:r>
        <w:t xml:space="preserve">source. Certainty ratings are those assigned by the source authors or by WHO; no new GRADE assessment was</w:t>
      </w:r>
      <w:r>
        <w:t xml:space="preserve"> </w:t>
      </w:r>
      <w:r>
        <w:t xml:space="preserve">performed.</w:t>
      </w:r>
    </w:p>
    <w:p>
      <w:pPr>
        <w:pStyle w:val="BodyText"/>
      </w:pPr>
      <w:r>
        <w:rPr>
          <w:b/>
          <w:bCs/>
        </w:rPr>
        <w:t xml:space="preserve">Abbreviations:</w:t>
      </w:r>
      <w:r>
        <w:t xml:space="preserve"> </w:t>
      </w:r>
      <w:r>
        <w:t xml:space="preserve">SAM, severe acute malnutrition; MAM, moderate acute malnutrition; CHW, community health</w:t>
      </w:r>
      <w:r>
        <w:t xml:space="preserve"> </w:t>
      </w:r>
      <w:r>
        <w:t xml:space="preserve">worker; RCT, randomised controlled trial; RUSF, ready-to-use supplementary food; RR, risk ratio; HR, hazard</w:t>
      </w:r>
      <w:r>
        <w:t xml:space="preserve"> </w:t>
      </w:r>
      <w:r>
        <w:t xml:space="preserve">ratio; aHR, adjusted hazard ratio; CI, confidence interval; DALY, disability-adjusted life-year.</w:t>
      </w:r>
    </w:p>
    <w:bookmarkStart w:id="11" w:name="introduction"/>
    <w:p>
      <w:pPr>
        <w:pStyle w:val="Heading1"/>
      </w:pPr>
      <w:r>
        <w:t xml:space="preserve">1. Introduction</w:t>
      </w:r>
    </w:p>
    <w:bookmarkStart w:id="9" w:name="X84f81e110b160d27fc8a0597034c773fba2b59d"/>
    <w:p>
      <w:pPr>
        <w:pStyle w:val="Heading2"/>
      </w:pPr>
      <w:r>
        <w:t xml:space="preserve">1.1 Community-based management of acute malnutrition</w:t>
      </w:r>
    </w:p>
    <w:p>
      <w:pPr>
        <w:pStyle w:val="FirstParagraph"/>
      </w:pPr>
      <w:r>
        <w:t xml:space="preserve">Community-based management of acute malnutrition (CMAM) combines community identification, outpatient</w:t>
      </w:r>
      <w:r>
        <w:t xml:space="preserve"> </w:t>
      </w:r>
      <w:r>
        <w:t xml:space="preserve">nutritional and medical care, and referral for inpatient treatment when needed. This review concerns</w:t>
      </w:r>
      <w:r>
        <w:t xml:space="preserve"> </w:t>
      </w:r>
      <w:r>
        <w:t xml:space="preserve">children aged 6–59 months. Children with uncomplicated severe wasting who are eligible for outpatient care</w:t>
      </w:r>
      <w:r>
        <w:t xml:space="preserve"> </w:t>
      </w:r>
      <w:r>
        <w:t xml:space="preserve">receive ready-to-use therapeutic food (RUTF) to eat at home and attend regular follow-up visits; children</w:t>
      </w:r>
      <w:r>
        <w:t xml:space="preserve"> </w:t>
      </w:r>
      <w:r>
        <w:t xml:space="preserve">with medical complications, poor appetite or severe nutritional oedema may need inpatient care. Severe</w:t>
      </w:r>
      <w:r>
        <w:t xml:space="preserve"> </w:t>
      </w:r>
      <w:r>
        <w:t xml:space="preserve">wasting is identified by a mid-upper arm circumference (MUAC) below 115 mm and/or a weight-for-height or</w:t>
      </w:r>
      <w:r>
        <w:t xml:space="preserve"> </w:t>
      </w:r>
      <w:r>
        <w:t xml:space="preserve">weight-for-length z-score below −3; MUAC from 115 mm to below 125 mm indicates moderate wasting. Bilateral</w:t>
      </w:r>
      <w:r>
        <w:t xml:space="preserve"> </w:t>
      </w:r>
      <w:r>
        <w:t xml:space="preserve">pitting oedema is a separate criterion for severe acute malnutrition. Infants younger than six months</w:t>
      </w:r>
      <w:r>
        <w:t xml:space="preserve"> </w:t>
      </w:r>
      <w:r>
        <w:t xml:space="preserve">follow a different pathway (WHO 2023).</w:t>
      </w:r>
    </w:p>
    <w:p>
      <w:pPr>
        <w:pStyle w:val="BodyText"/>
      </w:pPr>
      <w:r>
        <w:rPr>
          <w:b/>
          <w:bCs/>
        </w:rPr>
        <w:t xml:space="preserve">The scale of the problem.</w:t>
      </w:r>
      <w:r>
        <w:t xml:space="preserve"> </w:t>
      </w:r>
      <w:r>
        <w:t xml:space="preserve">In 2024, an estimated 42.8 million children under five were wasted — 6.6% of</w:t>
      </w:r>
      <w:r>
        <w:t xml:space="preserve"> </w:t>
      </w:r>
      <w:r>
        <w:t xml:space="preserve">the age group — of whom 12.2 million were severely wasted (UNICEF, WHO and World Bank 2025). These are</w:t>
      </w:r>
      <w:r>
        <w:t xml:space="preserve"> </w:t>
      </w:r>
      <w:r>
        <w:t xml:space="preserve">prevalence estimates, not counts of every episode during the year. Severe wasting is associated with a</w:t>
      </w:r>
      <w:r>
        <w:t xml:space="preserve"> </w:t>
      </w:r>
      <w:r>
        <w:t xml:space="preserve">substantially higher risk of death: in a pooled analysis of ten cohorts covering 53,809 children, severely</w:t>
      </w:r>
      <w:r>
        <w:t xml:space="preserve"> </w:t>
      </w:r>
      <w:r>
        <w:t xml:space="preserve">wasted children died at 11.6 times the rate of children with a weight-for-height z-score of at least −1</w:t>
      </w:r>
      <w:r>
        <w:t xml:space="preserve"> </w:t>
      </w:r>
      <w:r>
        <w:t xml:space="preserve">(Olofin et al. 2013).</w:t>
      </w:r>
    </w:p>
    <w:p>
      <w:pPr>
        <w:pStyle w:val="BodyText"/>
      </w:pPr>
      <w:r>
        <w:rPr>
          <w:b/>
          <w:bCs/>
        </w:rPr>
        <w:t xml:space="preserve">Treatment works.</w:t>
      </w:r>
      <w:r>
        <w:t xml:space="preserve"> </w:t>
      </w:r>
      <w:r>
        <w:t xml:space="preserve">Ready-to-use therapeutic food probably improves recovery compared with alternative</w:t>
      </w:r>
      <w:r>
        <w:t xml:space="preserve"> </w:t>
      </w:r>
      <w:r>
        <w:t xml:space="preserve">dietary approaches (RR 1.33, 95% CI 1.16–1.54; moderate-certainty evidence) (Schoonees et al. 2019). These</w:t>
      </w:r>
      <w:r>
        <w:t xml:space="preserve"> </w:t>
      </w:r>
      <w:r>
        <w:t xml:space="preserve">trials compare RUTF with other diets; they do not estimate the effect of the CMAM package against no</w:t>
      </w:r>
      <w:r>
        <w:t xml:space="preserve"> </w:t>
      </w:r>
      <w:r>
        <w:t xml:space="preserve">treatment.</w:t>
      </w:r>
    </w:p>
    <w:p>
      <w:pPr>
        <w:pStyle w:val="BodyText"/>
      </w:pPr>
      <w:r>
        <w:rPr>
          <w:b/>
          <w:bCs/>
        </w:rPr>
        <w:t xml:space="preserve">Coverage remains low.</w:t>
      </w:r>
      <w:r>
        <w:t xml:space="preserve"> </w:t>
      </w:r>
      <w:r>
        <w:t xml:space="preserve">The 2020 Global Action Plan on Child Wasting reported that roughly one severely</w:t>
      </w:r>
      <w:r>
        <w:t xml:space="preserve"> </w:t>
      </w:r>
      <w:r>
        <w:t xml:space="preserve">wasted child in three received treatment (FAO et al. 2020). A review of 44 coverage assessments in 21</w:t>
      </w:r>
      <w:r>
        <w:t xml:space="preserve"> </w:t>
      </w:r>
      <w:r>
        <w:t xml:space="preserve">countries, conducted in 2012–2013, found mean coverage of 38.3%; its authors noted possible selection</w:t>
      </w:r>
      <w:r>
        <w:t xml:space="preserve"> </w:t>
      </w:r>
      <w:r>
        <w:t xml:space="preserve">towards better-performing programmes, so coverage elsewhere may have been lower (Rogers et al. 2015).</w:t>
      </w:r>
      <w:r>
        <w:t xml:space="preserve"> </w:t>
      </w:r>
      <w:r>
        <w:t xml:space="preserve">Neither figure is a current, representative global estimate.</w:t>
      </w:r>
    </w:p>
    <w:p>
      <w:pPr>
        <w:pStyle w:val="BodyText"/>
      </w:pPr>
      <w:r>
        <w:rPr>
          <w:b/>
          <w:bCs/>
        </w:rPr>
        <w:t xml:space="preserve">Recovery is often not sustained.</w:t>
      </w:r>
      <w:r>
        <w:t xml:space="preserve"> </w:t>
      </w:r>
      <w:r>
        <w:t xml:space="preserve">In three study settings, 22–63% of children discharged as recovered</w:t>
      </w:r>
      <w:r>
        <w:t xml:space="preserve"> </w:t>
      </w:r>
      <w:r>
        <w:t xml:space="preserve">relapsed to acute malnutrition — moderate or severe — within six months (King et al. 2025).</w:t>
      </w:r>
    </w:p>
    <w:p>
      <w:pPr>
        <w:pStyle w:val="BodyText"/>
      </w:pPr>
      <w:r>
        <w:t xml:space="preserve">In technical feedback on the initial review, Save the Children described adherence and coverage, rather</w:t>
      </w:r>
      <w:r>
        <w:t xml:space="preserve"> </w:t>
      </w:r>
      <w:r>
        <w:t xml:space="preserve">than efficacy, as the binding constraint, and noted that CMAM is coverage-limited (IA partner feedback,</w:t>
      </w:r>
      <w:r>
        <w:t xml:space="preserve"> </w:t>
      </w:r>
      <w:r>
        <w:t xml:space="preserve">July 2026). The evidence above is consistent with that framing: children are missed before treatment,</w:t>
      </w:r>
      <w:r>
        <w:t xml:space="preserve"> </w:t>
      </w:r>
      <w:r>
        <w:t xml:space="preserve">discontinue during it, or relapse after discharge. This report is organised around those three stages.</w:t>
      </w:r>
    </w:p>
    <w:bookmarkEnd w:id="9"/>
    <w:bookmarkStart w:id="10" w:name="what-scaleworks-is-trying-to-do"/>
    <w:p>
      <w:pPr>
        <w:pStyle w:val="Heading2"/>
      </w:pPr>
      <w:r>
        <w:t xml:space="preserve">1.2 What ScaleWorks is trying to do</w:t>
      </w:r>
    </w:p>
    <w:p>
      <w:pPr>
        <w:pStyle w:val="BlockText"/>
      </w:pPr>
      <w:r>
        <w:rPr>
          <w:b/>
          <w:bCs/>
        </w:rPr>
        <w:t xml:space="preserve">[To be completed with CARE.]</w:t>
      </w:r>
      <w:r>
        <w:t xml:space="preserve"> </w:t>
      </w:r>
      <w:r>
        <w:t xml:space="preserve">ScaleWorks aims to design a CMAM programme that governments can adopt and</w:t>
      </w:r>
      <w:r>
        <w:t xml:space="preserve"> </w:t>
      </w:r>
      <w:r>
        <w:t xml:space="preserve">that can be scaled beyond its first setting. This section needs ScaleWorks’ target geography, population,</w:t>
      </w:r>
      <w:r>
        <w:t xml:space="preserve"> </w:t>
      </w:r>
      <w:r>
        <w:t xml:space="preserve">time frame, budget envelope and intended government partner.</w:t>
      </w:r>
    </w:p>
    <w:p>
      <w:pPr>
        <w:pStyle w:val="FirstParagraph"/>
      </w:pPr>
      <w:r>
        <w:t xml:space="preserve">Three features of the evidence bear directly on that aim.</w:t>
      </w:r>
    </w:p>
    <w:p>
      <w:pPr>
        <w:pStyle w:val="BodyText"/>
      </w:pPr>
      <w:r>
        <w:rPr>
          <w:b/>
          <w:bCs/>
        </w:rPr>
        <w:t xml:space="preserve">The gap is largest where burden is high and coverage low.</w:t>
      </w:r>
      <w:r>
        <w:t xml:space="preserve"> </w:t>
      </w:r>
      <w:r>
        <w:t xml:space="preserve">National survey estimates put wasting</w:t>
      </w:r>
      <w:r>
        <w:t xml:space="preserve"> </w:t>
      </w:r>
      <w:r>
        <w:t xml:space="preserve">prevalence at 11.6% in Nigeria in 2021 and 10.9% in Niger in 2022 (World Bank, accessed September 2026).</w:t>
      </w:r>
      <w:r>
        <w:t xml:space="preserve"> </w:t>
      </w:r>
      <w:r>
        <w:t xml:space="preserve">GiveWell’s cost-effectiveness analysis of treatment in Gombe State, northeastern Nigeria, uses a baseline</w:t>
      </w:r>
      <w:r>
        <w:t xml:space="preserve"> </w:t>
      </w:r>
      <w:r>
        <w:t xml:space="preserve">treatment coverage of about 1% (GiveWell 2024).</w:t>
      </w:r>
    </w:p>
    <w:p>
      <w:pPr>
        <w:pStyle w:val="BodyText"/>
      </w:pPr>
      <w:r>
        <w:rPr>
          <w:b/>
          <w:bCs/>
        </w:rPr>
        <w:t xml:space="preserve">The evidence base is regional.</w:t>
      </w:r>
      <w:r>
        <w:t xml:space="preserve"> </w:t>
      </w:r>
      <w:r>
        <w:t xml:space="preserve">The delivery and protocol trials highlighted below were conducted</w:t>
      </w:r>
      <w:r>
        <w:t xml:space="preserve"> </w:t>
      </w:r>
      <w:r>
        <w:t xml:space="preserve">mainly in Mali, Niger, Kenya, South Sudan and Burkina Faso, with further evidence from Bangladesh, Burundi,</w:t>
      </w:r>
      <w:r>
        <w:t xml:space="preserve"> </w:t>
      </w:r>
      <w:r>
        <w:t xml:space="preserve">the Democratic Republic of the Congo and Pakistan. Applying them elsewhere requires an assessment of</w:t>
      </w:r>
      <w:r>
        <w:t xml:space="preserve"> </w:t>
      </w:r>
      <w:r>
        <w:t xml:space="preserve">health-system capacity, population characteristics, treatment practice and caregiver constraints.</w:t>
      </w:r>
    </w:p>
    <w:p>
      <w:pPr>
        <w:pStyle w:val="BodyText"/>
      </w:pPr>
      <w:r>
        <w:rPr>
          <w:b/>
          <w:bCs/>
        </w:rPr>
        <w:t xml:space="preserve">National adoption pathways need local assessment.</w:t>
      </w:r>
      <w:r>
        <w:t xml:space="preserve"> </w:t>
      </w:r>
      <w:r>
        <w:t xml:space="preserve">A 2020 study of decision-making in Niger, Nigeria,</w:t>
      </w:r>
      <w:r>
        <w:t xml:space="preserve"> </w:t>
      </w:r>
      <w:r>
        <w:t xml:space="preserve">Somalia and South Sudan found that routine national guidelines generally did not incorporate the combined</w:t>
      </w:r>
      <w:r>
        <w:t xml:space="preserve"> </w:t>
      </w:r>
      <w:r>
        <w:t xml:space="preserve">protocol, although some elements had been accepted for emergency use (Dalglish et al. 2020). That suggests</w:t>
      </w:r>
      <w:r>
        <w:t xml:space="preserve"> </w:t>
      </w:r>
      <w:r>
        <w:t xml:space="preserve">a possible route for discussion with ministries; it does not establish current permission in ScaleWorks’</w:t>
      </w:r>
      <w:r>
        <w:t xml:space="preserve"> </w:t>
      </w:r>
      <w:r>
        <w:t xml:space="preserve">eventual setting.</w:t>
      </w:r>
    </w:p>
    <w:bookmarkEnd w:id="10"/>
    <w:bookmarkEnd w:id="11"/>
    <w:bookmarkStart w:id="17" w:name="what-care-and-scaleworks-should-consider"/>
    <w:p>
      <w:pPr>
        <w:pStyle w:val="Heading1"/>
      </w:pPr>
      <w:r>
        <w:t xml:space="preserve">2. What CARE and ScaleWorks should consider</w:t>
      </w:r>
    </w:p>
    <w:p>
      <w:pPr>
        <w:pStyle w:val="FirstParagraph"/>
      </w:pPr>
      <w:r>
        <w:t xml:space="preserve">The interventions below follow the three stages: reaching treatment, treatment itself, and sustaining</w:t>
      </w:r>
      <w:r>
        <w:t xml:space="preserve"> </w:t>
      </w:r>
      <w:r>
        <w:t xml:space="preserve">recovery. For each, the evidence is given with its study design, and the implications for ScaleWorks are</w:t>
      </w:r>
      <w:r>
        <w:t xml:space="preserve"> </w:t>
      </w:r>
      <w:r>
        <w:t xml:space="preserve">drawn out separately.</w:t>
      </w:r>
    </w:p>
    <w:bookmarkStart w:id="12" w:name="getting-children-into-treatment"/>
    <w:p>
      <w:pPr>
        <w:pStyle w:val="Heading2"/>
      </w:pPr>
      <w:r>
        <w:t xml:space="preserve">2.1 Getting children into treatment</w:t>
      </w:r>
    </w:p>
    <w:p>
      <w:pPr>
        <w:pStyle w:val="FirstParagraph"/>
      </w:pPr>
      <w:r>
        <w:rPr>
          <w:b/>
          <w:bCs/>
        </w:rPr>
        <w:t xml:space="preserve">Why children are missed.</w:t>
      </w:r>
      <w:r>
        <w:t xml:space="preserve"> </w:t>
      </w:r>
      <w:r>
        <w:t xml:space="preserve">When caregivers of untreated children across 44 coverage assessments were</w:t>
      </w:r>
      <w:r>
        <w:t xml:space="preserve"> </w:t>
      </w:r>
      <w:r>
        <w:t xml:space="preserve">asked why their child was not in the programme, five barriers accounted for 84% of answers. Ranked by</w:t>
      </w:r>
      <w:r>
        <w:t xml:space="preserve"> </w:t>
      </w:r>
      <w:r>
        <w:t xml:space="preserve">frequency (Rogers et al. 2015):</w:t>
      </w:r>
    </w:p>
    <w:p>
      <w:pPr>
        <w:pStyle w:val="Compact"/>
        <w:numPr>
          <w:ilvl w:val="0"/>
          <w:numId w:val="1001"/>
        </w:numPr>
      </w:pPr>
      <w:r>
        <w:t xml:space="preserve">Not recognising that the child was malnourished</w:t>
      </w:r>
    </w:p>
    <w:p>
      <w:pPr>
        <w:pStyle w:val="Compact"/>
        <w:numPr>
          <w:ilvl w:val="0"/>
          <w:numId w:val="1001"/>
        </w:numPr>
      </w:pPr>
      <w:r>
        <w:t xml:space="preserve">Not knowing the programme existed</w:t>
      </w:r>
    </w:p>
    <w:p>
      <w:pPr>
        <w:pStyle w:val="Compact"/>
        <w:numPr>
          <w:ilvl w:val="0"/>
          <w:numId w:val="1001"/>
        </w:numPr>
      </w:pPr>
      <w:r>
        <w:t xml:space="preserve">High opportunity costs — travel, lost income, lost agricultural labour</w:t>
      </w:r>
    </w:p>
    <w:p>
      <w:pPr>
        <w:pStyle w:val="Compact"/>
        <w:numPr>
          <w:ilvl w:val="0"/>
          <w:numId w:val="1001"/>
        </w:numPr>
      </w:pPr>
      <w:r>
        <w:t xml:space="preserve">The child attending a health facility for another reason, such as malaria, without being screened</w:t>
      </w:r>
    </w:p>
    <w:p>
      <w:pPr>
        <w:pStyle w:val="Compact"/>
        <w:numPr>
          <w:ilvl w:val="0"/>
          <w:numId w:val="1001"/>
        </w:numPr>
      </w:pPr>
      <w:r>
        <w:t xml:space="preserve">The child having been screened before and turned away as ineligible</w:t>
      </w:r>
    </w:p>
    <w:p>
      <w:pPr>
        <w:pStyle w:val="FirstParagraph"/>
      </w:pPr>
      <w:r>
        <w:t xml:space="preserve">The first two — awareness — made up 55% of all reasons given.</w:t>
      </w:r>
    </w:p>
    <w:p>
      <w:pPr>
        <w:pStyle w:val="BodyText"/>
      </w:pPr>
      <w:r>
        <w:rPr>
          <w:b/>
          <w:bCs/>
        </w:rPr>
        <w:t xml:space="preserve">Finding children is not the same as treating them.</w:t>
      </w:r>
      <w:r>
        <w:t xml:space="preserve"> </w:t>
      </w:r>
      <w:r>
        <w:t xml:space="preserve">Two studies illustrate why better case-finding need</w:t>
      </w:r>
      <w:r>
        <w:t xml:space="preserve"> </w:t>
      </w:r>
      <w:r>
        <w:t xml:space="preserve">not translate into higher treatment coverage.</w:t>
      </w:r>
    </w:p>
    <w:p>
      <w:pPr>
        <w:pStyle w:val="Compact"/>
        <w:numPr>
          <w:ilvl w:val="0"/>
          <w:numId w:val="1002"/>
        </w:numPr>
      </w:pPr>
      <w:r>
        <w:t xml:space="preserve">In an observational comparison in Burundi, clinic-based systematic screening enrolled 98% of the cases</w:t>
      </w:r>
      <w:r>
        <w:t xml:space="preserve"> </w:t>
      </w:r>
      <w:r>
        <w:t xml:space="preserve">it detected, against 8% for community mass screening: a child identified in a village still has to reach</w:t>
      </w:r>
      <w:r>
        <w:t xml:space="preserve"> </w:t>
      </w:r>
      <w:r>
        <w:t xml:space="preserve">a facility (Odjidja et al. 2022).</w:t>
      </w:r>
    </w:p>
    <w:p>
      <w:pPr>
        <w:pStyle w:val="Compact"/>
        <w:numPr>
          <w:ilvl w:val="0"/>
          <w:numId w:val="1002"/>
        </w:numPr>
      </w:pPr>
      <w:r>
        <w:t xml:space="preserve">In a cluster RCT in Mali, adding preventive supplements to community screening raised screening coverage</w:t>
      </w:r>
      <w:r>
        <w:t xml:space="preserve"> </w:t>
      </w:r>
      <w:r>
        <w:t xml:space="preserve">by 40 percentage points but did not change treatment coverage; across both arms, 7.6% of acutely</w:t>
      </w:r>
      <w:r>
        <w:t xml:space="preserve"> </w:t>
      </w:r>
      <w:r>
        <w:t xml:space="preserve">malnourished children received appropriate treatment in the month before the endline survey. Volunteers</w:t>
      </w:r>
      <w:r>
        <w:t xml:space="preserve"> </w:t>
      </w:r>
      <w:r>
        <w:t xml:space="preserve">gave identified children preventive supplements rather than referring them, and the longitudinal</w:t>
      </w:r>
      <w:r>
        <w:t xml:space="preserve"> </w:t>
      </w:r>
      <w:r>
        <w:t xml:space="preserve">analysis found treatment enrolment 10 percentage points lower (Huybregts et al. 2019).</w:t>
      </w:r>
    </w:p>
    <w:p>
      <w:pPr>
        <w:pStyle w:val="FirstParagraph"/>
      </w:pPr>
      <w:r>
        <w:rPr>
          <w:b/>
          <w:bCs/>
        </w:rPr>
        <w:t xml:space="preserve">Decentralising treatment to community health workers.</w:t>
      </w:r>
      <w:r>
        <w:t xml:space="preserve"> </w:t>
      </w:r>
      <w:r>
        <w:t xml:space="preserve">Three studies evaluate bringing treatment, not</w:t>
      </w:r>
      <w:r>
        <w:t xml:space="preserve"> </w:t>
      </w:r>
      <w:r>
        <w:t xml:space="preserve">only screening, closer to communities.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Kita, Mali (Alvarez Morán et al. 2018)</w:t>
            </w:r>
          </w:p>
        </w:tc>
        <w:tc>
          <w:tcPr/>
          <w:p>
            <w:pPr>
              <w:pStyle w:val="Compact"/>
            </w:pPr>
            <w:r>
              <w:t xml:space="preserve">CHWs and facilities vs facilities only; one cluster per arm, so analysed as non-randomised in the 2023 Cochrane review</w:t>
            </w:r>
          </w:p>
        </w:tc>
        <w:tc>
          <w:tcPr/>
          <w:p>
            <w:pPr>
              <w:pStyle w:val="Compact"/>
            </w:pPr>
            <w:r>
              <w:t xml:space="preserve">Coverage rose from 43.9% to</w:t>
            </w:r>
            <w:r>
              <w:t xml:space="preserve"> </w:t>
            </w:r>
            <w:r>
              <w:rPr>
                <w:b/>
                <w:bCs/>
              </w:rPr>
              <w:t xml:space="preserve">86.7%</w:t>
            </w:r>
            <w:r>
              <w:t xml:space="preserve">, against 41.6% in the control area; cure 94.2% vs 88.6%; defaulting</w:t>
            </w:r>
            <w:r>
              <w:t xml:space="preserve"> </w:t>
            </w:r>
            <w:r>
              <w:rPr>
                <w:b/>
                <w:bCs/>
              </w:rPr>
              <w:t xml:space="preserve">4.5% vs 10.8%</w:t>
            </w:r>
            <w:r>
              <w:t xml:space="preserve"> </w:t>
            </w:r>
            <w:r>
              <w:t xml:space="preserve">(RR 0.42, 95% CI 0.25–0.71); no statistically significant difference in mortality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Gao, Mali (López-Ejeda et al. 2024)</w:t>
            </w:r>
          </w:p>
        </w:tc>
        <w:tc>
          <w:tcPr/>
          <w:p>
            <w:pPr>
              <w:pStyle w:val="Compact"/>
            </w:pPr>
            <w:r>
              <w:t xml:space="preserve">Three-arm cluster RCT, 2,038 children</w:t>
            </w:r>
          </w:p>
        </w:tc>
        <w:tc>
          <w:tcPr/>
          <w:p>
            <w:pPr>
              <w:pStyle w:val="Compact"/>
            </w:pPr>
            <w:r>
              <w:t xml:space="preserve">Recovery 76.3% (facilities), 81.8% (+ CHWs, standard protocol),</w:t>
            </w:r>
            <w:r>
              <w:t xml:space="preserve"> </w:t>
            </w:r>
            <w:r>
              <w:rPr>
                <w:b/>
                <w:bCs/>
              </w:rPr>
              <w:t xml:space="preserve">92.9%</w:t>
            </w:r>
            <w:r>
              <w:t xml:space="preserve"> </w:t>
            </w:r>
            <w:r>
              <w:t xml:space="preserve">(+ CHWs, simplified protocol). Severe cases: 71.4%, 71.5%,</w:t>
            </w:r>
            <w:r>
              <w:t xml:space="preserve"> </w:t>
            </w:r>
            <w:r>
              <w:rPr>
                <w:b/>
                <w:bCs/>
              </w:rPr>
              <w:t xml:space="preserve">87.6%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Sindh, Pakistan (Rogers et al. 2019)</w:t>
            </w:r>
          </w:p>
        </w:tc>
        <w:tc>
          <w:tcPr/>
          <w:p>
            <w:pPr>
              <w:pStyle w:val="Compact"/>
            </w:pPr>
            <w:r>
              <w:t xml:space="preserve">Cluster RCT: lady health workers alongside facilities vs facilities only</w:t>
            </w:r>
          </w:p>
        </w:tc>
        <w:tc>
          <w:tcPr/>
          <w:p>
            <w:pPr>
              <w:pStyle w:val="Compact"/>
            </w:pPr>
            <w:r>
              <w:t xml:space="preserve">US$291 vs US$301 per child treated; US$382 vs US$363 per child recovered; recovery 76.0% vs 83.0%. The authors report</w:t>
            </w:r>
            <w:r>
              <w:t xml:space="preserve"> </w:t>
            </w:r>
            <w:r>
              <w:t xml:space="preserve">“considerable uncertainty”</w:t>
            </w:r>
            <w:r>
              <w:t xml:space="preserve"> </w:t>
            </w:r>
            <w:r>
              <w:t xml:space="preserve">over which is more cost-effective</w:t>
            </w:r>
          </w:p>
        </w:tc>
      </w:tr>
    </w:tbl>
    <w:p>
      <w:pPr>
        <w:pStyle w:val="BodyText"/>
      </w:pPr>
      <w:r>
        <w:t xml:space="preserve">In Gao, severe-case recovery was similar in the facility-only arm and the arm adding community health</w:t>
      </w:r>
      <w:r>
        <w:t xml:space="preserve"> </w:t>
      </w:r>
      <w:r>
        <w:t xml:space="preserve">workers under the standard protocol. It was 16.1 percentage points higher, unadjusted, in the arm combining</w:t>
      </w:r>
      <w:r>
        <w:t xml:space="preserve"> </w:t>
      </w:r>
      <w:r>
        <w:t xml:space="preserve">community health workers with a simplified protocol. This supports evaluating the two changes together;</w:t>
      </w:r>
      <w:r>
        <w:t xml:space="preserve"> </w:t>
      </w:r>
      <w:r>
        <w:t xml:space="preserve">because the trial had no facility-only simplified arm, it does not establish that they must always be</w:t>
      </w:r>
      <w:r>
        <w:t xml:space="preserve"> </w:t>
      </w:r>
      <w:r>
        <w:t xml:space="preserve">introduced together.</w:t>
      </w:r>
    </w:p>
    <w:p>
      <w:pPr>
        <w:pStyle w:val="BodyText"/>
      </w:pPr>
      <w:r>
        <w:rPr>
          <w:b/>
          <w:bCs/>
        </w:rPr>
        <w:t xml:space="preserve">Costs in the Gao setting.</w:t>
      </w:r>
      <w:r>
        <w:t xml:space="preserve"> </w:t>
      </w:r>
      <w:r>
        <w:t xml:space="preserve">An economic evaluation of the Gao trial (Cichon et al. 2025):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Facilities only</w:t>
            </w:r>
          </w:p>
        </w:tc>
        <w:tc>
          <w:tcPr/>
          <w:p>
            <w:pPr>
              <w:pStyle w:val="Compact"/>
            </w:pPr>
            <w:r>
              <w:t xml:space="preserve">+ CHWs, standard</w:t>
            </w:r>
          </w:p>
        </w:tc>
        <w:tc>
          <w:tcPr/>
          <w:p>
            <w:pPr>
              <w:pStyle w:val="Compact"/>
            </w:pPr>
            <w:r>
              <w:t xml:space="preserve">+ CHWs, simplified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child treated</w:t>
            </w:r>
          </w:p>
        </w:tc>
        <w:tc>
          <w:tcPr/>
          <w:p>
            <w:pPr>
              <w:pStyle w:val="Compact"/>
            </w:pPr>
            <w:r>
              <w:t xml:space="preserve">US$272</w:t>
            </w:r>
          </w:p>
        </w:tc>
        <w:tc>
          <w:tcPr/>
          <w:p>
            <w:pPr>
              <w:pStyle w:val="Compact"/>
            </w:pPr>
            <w:r>
              <w:t xml:space="preserve">US$179</w:t>
            </w:r>
          </w:p>
        </w:tc>
        <w:tc>
          <w:tcPr/>
          <w:p>
            <w:pPr>
              <w:pStyle w:val="Compact"/>
            </w:pPr>
            <w:r>
              <w:t xml:space="preserve">US$210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child cured</w:t>
            </w:r>
          </w:p>
        </w:tc>
        <w:tc>
          <w:tcPr/>
          <w:p>
            <w:pPr>
              <w:pStyle w:val="Compact"/>
            </w:pPr>
            <w:r>
              <w:t xml:space="preserve">US$356</w:t>
            </w:r>
          </w:p>
        </w:tc>
        <w:tc>
          <w:tcPr/>
          <w:p>
            <w:pPr>
              <w:pStyle w:val="Compact"/>
            </w:pPr>
            <w:r>
              <w:t xml:space="preserve">US$219</w:t>
            </w:r>
          </w:p>
        </w:tc>
        <w:tc>
          <w:tcPr/>
          <w:p>
            <w:pPr>
              <w:pStyle w:val="Compact"/>
            </w:pPr>
            <w:r>
              <w:t xml:space="preserve">US$226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DALY averted</w:t>
            </w:r>
          </w:p>
        </w:tc>
        <w:tc>
          <w:tcPr/>
          <w:p>
            <w:pPr>
              <w:pStyle w:val="Compact"/>
            </w:pPr>
            <w:r>
              <w:t xml:space="preserve">US$173</w:t>
            </w:r>
          </w:p>
        </w:tc>
        <w:tc>
          <w:tcPr/>
          <w:p>
            <w:pPr>
              <w:pStyle w:val="Compact"/>
            </w:pPr>
            <w:r>
              <w:t xml:space="preserve">US$60</w:t>
            </w:r>
          </w:p>
        </w:tc>
        <w:tc>
          <w:tcPr/>
          <w:p>
            <w:pPr>
              <w:pStyle w:val="Compact"/>
            </w:pPr>
            <w:r>
              <w:t xml:space="preserve">US$53</w:t>
            </w:r>
          </w:p>
        </w:tc>
      </w:tr>
    </w:tbl>
    <w:p>
      <w:pPr>
        <w:pStyle w:val="BodyText"/>
      </w:pPr>
      <w:r>
        <w:t xml:space="preserve">Total programme cost was similar across the three arms. Coordination and supervision together accounted</w:t>
      </w:r>
      <w:r>
        <w:t xml:space="preserve"> </w:t>
      </w:r>
      <w:r>
        <w:t xml:space="preserve">for 42–44% of total cost, and treating more children spread that cost across a larger caseload. ScaleWorks’</w:t>
      </w:r>
      <w:r>
        <w:t xml:space="preserve"> </w:t>
      </w:r>
      <w:r>
        <w:t xml:space="preserve">budget should rest on local staffing, transport, supervision and caseload assumptions; these figures do not</w:t>
      </w:r>
      <w:r>
        <w:t xml:space="preserve"> </w:t>
      </w:r>
      <w:r>
        <w:t xml:space="preserve">establish a universal cost structure.</w:t>
      </w:r>
    </w:p>
    <w:p>
      <w:pPr>
        <w:pStyle w:val="BodyText"/>
      </w:pPr>
      <w:r>
        <w:rPr>
          <w:b/>
          <w:bCs/>
        </w:rPr>
        <w:t xml:space="preserve">A related delivery model.</w:t>
      </w:r>
      <w:r>
        <w:t xml:space="preserve"> </w:t>
      </w:r>
      <w:r>
        <w:t xml:space="preserve">Taimaka provides outpatient treatment through government primary health</w:t>
      </w:r>
      <w:r>
        <w:t xml:space="preserve"> </w:t>
      </w:r>
      <w:r>
        <w:t xml:space="preserve">facilities in Gombe State, Nigeria, using community health extension workers as triage officers,</w:t>
      </w:r>
      <w:r>
        <w:t xml:space="preserve"> </w:t>
      </w:r>
      <w:r>
        <w:t xml:space="preserve">app-guided assessment, MUAC-based admission and nurse supervision, with referral for inpatient care. This</w:t>
      </w:r>
      <w:r>
        <w:t xml:space="preserve"> </w:t>
      </w:r>
      <w:r>
        <w:t xml:space="preserve">differs from Gao’s additional community treatment sites. GiveWell’s cost-effectiveness model estimates a</w:t>
      </w:r>
      <w:r>
        <w:t xml:space="preserve"> </w:t>
      </w:r>
      <w:r>
        <w:t xml:space="preserve">cost of about US$105 per child treated and cost-effectiveness roughly nine times its cash-transfer</w:t>
      </w:r>
      <w:r>
        <w:t xml:space="preserve"> </w:t>
      </w:r>
      <w:r>
        <w:t xml:space="preserve">benchmark; these are model estimates, not trial results. GiveWell reports Taimaka’s 2024 recovery rate as</w:t>
      </w:r>
      <w:r>
        <w:t xml:space="preserve"> </w:t>
      </w:r>
      <w:r>
        <w:t xml:space="preserve">92.9% after excluding non-response from the denominator — about 84% of discharges were recoveries — and</w:t>
      </w:r>
      <w:r>
        <w:t xml:space="preserve"> </w:t>
      </w:r>
      <w:r>
        <w:t xml:space="preserve">the figure is self-reported. GiveWell’s reservations include effects on other health services and on</w:t>
      </w:r>
      <w:r>
        <w:t xml:space="preserve"> </w:t>
      </w:r>
      <w:r>
        <w:t xml:space="preserve">quality of care (GiveWell 2024).</w:t>
      </w:r>
    </w:p>
    <w:p>
      <w:pPr>
        <w:pStyle w:val="BodyText"/>
      </w:pPr>
      <w:r>
        <w:rPr>
          <w:b/>
          <w:bCs/>
        </w:rPr>
        <w:t xml:space="preserve">Guideline position.</w:t>
      </w:r>
      <w:r>
        <w:t xml:space="preserve"> </w:t>
      </w:r>
      <w:r>
        <w:t xml:space="preserve">WHO’s 2023 guideline states that community health workers can assess, classify and</w:t>
      </w:r>
      <w:r>
        <w:t xml:space="preserve"> </w:t>
      </w:r>
      <w:r>
        <w:t xml:space="preserve">manage or refer children with wasting, given adequate training and supervision — a conditional</w:t>
      </w:r>
      <w:r>
        <w:t xml:space="preserve"> </w:t>
      </w:r>
      <w:r>
        <w:t xml:space="preserve">recommendation on very-low-certainty evidence (WHO 2023). A 2023 Cochrane review likewise rated the</w:t>
      </w:r>
      <w:r>
        <w:t xml:space="preserve"> </w:t>
      </w:r>
      <w:r>
        <w:t xml:space="preserve">evidence on CHW-delivered treatment as very low certainty for recovery, coverage and mortality</w:t>
      </w:r>
      <w:r>
        <w:t xml:space="preserve"> </w:t>
      </w:r>
      <w:r>
        <w:t xml:space="preserve">(Papadopoulou et al. 2023); the Gao trial was published afterwards.</w:t>
      </w:r>
    </w:p>
    <w:p>
      <w:pPr>
        <w:pStyle w:val="BodyText"/>
      </w:pPr>
      <w:r>
        <w:rPr>
          <w:b/>
          <w:bCs/>
        </w:rPr>
        <w:t xml:space="preserve">Implications for ScaleWorks</w:t>
      </w:r>
    </w:p>
    <w:p>
      <w:pPr>
        <w:pStyle w:val="Compact"/>
        <w:numPr>
          <w:ilvl w:val="0"/>
          <w:numId w:val="1003"/>
        </w:numPr>
      </w:pPr>
      <w:r>
        <w:t xml:space="preserve">Screen every child who attends a health facility, whatever the reason for the visit.</w:t>
      </w:r>
    </w:p>
    <w:p>
      <w:pPr>
        <w:pStyle w:val="Compact"/>
        <w:numPr>
          <w:ilvl w:val="0"/>
          <w:numId w:val="1003"/>
        </w:numPr>
      </w:pPr>
      <w:r>
        <w:t xml:space="preserve">Decentralise treatment, not only screening: every screening point needs a functioning route to</w:t>
      </w:r>
      <w:r>
        <w:t xml:space="preserve"> </w:t>
      </w:r>
      <w:r>
        <w:t xml:space="preserve">treatment.</w:t>
      </w:r>
    </w:p>
    <w:p>
      <w:pPr>
        <w:pStyle w:val="Compact"/>
        <w:numPr>
          <w:ilvl w:val="0"/>
          <w:numId w:val="1003"/>
        </w:numPr>
      </w:pPr>
      <w:r>
        <w:t xml:space="preserve">Align screening, referral and admission criteria with the nationally authorised protocol, including</w:t>
      </w:r>
      <w:r>
        <w:t xml:space="preserve"> </w:t>
      </w:r>
      <w:r>
        <w:t xml:space="preserve">routes for children identified by oedema or weight-for-height, and monitor why referred children are not</w:t>
      </w:r>
      <w:r>
        <w:t xml:space="preserve"> </w:t>
      </w:r>
      <w:r>
        <w:t xml:space="preserve">enrolled.</w:t>
      </w:r>
    </w:p>
    <w:p>
      <w:pPr>
        <w:pStyle w:val="Compact"/>
        <w:numPr>
          <w:ilvl w:val="0"/>
          <w:numId w:val="1003"/>
        </w:numPr>
      </w:pPr>
      <w:r>
        <w:t xml:space="preserve">Report case-finding and treatment coverage as separate indicators.</w:t>
      </w:r>
    </w:p>
    <w:p>
      <w:pPr>
        <w:pStyle w:val="Compact"/>
        <w:numPr>
          <w:ilvl w:val="0"/>
          <w:numId w:val="1003"/>
        </w:numPr>
      </w:pPr>
      <w:r>
        <w:t xml:space="preserve">Budget for training, coordination, supervision and referral, and evaluate decentralisation together with</w:t>
      </w:r>
      <w:r>
        <w:t xml:space="preserve"> </w:t>
      </w:r>
      <w:r>
        <w:t xml:space="preserve">protocol simplification.</w:t>
      </w:r>
    </w:p>
    <w:bookmarkEnd w:id="12"/>
    <w:bookmarkStart w:id="13" w:name="X5ba76552647bdf4626ed5d8b51840ac4e59d3bb"/>
    <w:p>
      <w:pPr>
        <w:pStyle w:val="Heading2"/>
      </w:pPr>
      <w:r>
        <w:t xml:space="preserve">2.2 Treating children: simplified or standard protocol</w:t>
      </w:r>
    </w:p>
    <w:p>
      <w:pPr>
        <w:pStyle w:val="FirstParagraph"/>
      </w:pPr>
      <w:r>
        <w:rPr>
          <w:b/>
          <w:bCs/>
        </w:rPr>
        <w:t xml:space="preserve">What a simplified protocol changes.</w:t>
      </w:r>
      <w:r>
        <w:t xml:space="preserve"> </w:t>
      </w:r>
      <w:r>
        <w:t xml:space="preserve">Simplified approaches change different elements of care. Combined</w:t>
      </w:r>
      <w:r>
        <w:t xml:space="preserve"> </w:t>
      </w:r>
      <w:r>
        <w:t xml:space="preserve">protocols treat severe and moderate wasting within one programme using one product, but their admission,</w:t>
      </w:r>
      <w:r>
        <w:t xml:space="preserve"> </w:t>
      </w:r>
      <w:r>
        <w:t xml:space="preserve">discharge and dosing rules differ. ComPAS sets fixed sachet quantities by MUAC category; OptiMA doses by</w:t>
      </w:r>
      <w:r>
        <w:t xml:space="preserve"> </w:t>
      </w:r>
      <w:r>
        <w:t xml:space="preserve">body weight within MUAC bands. Reduced-dose trials such as MANGO test one component rather than a combined</w:t>
      </w:r>
      <w:r>
        <w:t xml:space="preserve"> </w:t>
      </w:r>
      <w:r>
        <w:t xml:space="preserve">programme. Under ComPAS, children with MUAC below 115 mm or oedema receive two sachets a day (about 1,000</w:t>
      </w:r>
      <w:r>
        <w:t xml:space="preserve"> </w:t>
      </w:r>
      <w:r>
        <w:t xml:space="preserve">kcal); children with MUAC from 115 mm to below 125 mm receive one (about 500 kcal); the dose steps down</w:t>
      </w:r>
      <w:r>
        <w:t xml:space="preserve"> </w:t>
      </w:r>
      <w:r>
        <w:t xml:space="preserve">once MUAC reaches 115 mm without oedema on two consecutive visits; and children are discharged at 125 mm or</w:t>
      </w:r>
      <w:r>
        <w:t xml:space="preserve"> </w:t>
      </w:r>
      <w:r>
        <w:t xml:space="preserve">above, without oedema, on two consecutive visits (Bailey et al. 2020).</w:t>
      </w:r>
    </w:p>
    <w:p>
      <w:pPr>
        <w:pStyle w:val="BodyText"/>
      </w:pPr>
      <w:r>
        <w:rPr>
          <w:b/>
          <w:bCs/>
        </w:rPr>
        <w:t xml:space="preserve">The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ComPAS (Bailey et al. 2020)</w:t>
            </w:r>
          </w:p>
        </w:tc>
        <w:tc>
          <w:tcPr/>
          <w:p>
            <w:pPr>
              <w:pStyle w:val="Compact"/>
            </w:pPr>
            <w:r>
              <w:t xml:space="preserve">Cluster RCT, 4,110 children, Kenya and South Sudan</w:t>
            </w:r>
          </w:p>
        </w:tc>
        <w:tc>
          <w:tcPr/>
          <w:p>
            <w:pPr>
              <w:pStyle w:val="Compact"/>
            </w:pPr>
            <w:r>
              <w:t xml:space="preserve">Per-protocol recovery</w:t>
            </w:r>
            <w:r>
              <w:t xml:space="preserve"> </w:t>
            </w:r>
            <w:r>
              <w:rPr>
                <w:b/>
                <w:bCs/>
              </w:rPr>
              <w:t xml:space="preserve">76.3% vs 73.5%</w:t>
            </w:r>
            <w:r>
              <w:t xml:space="preserve"> </w:t>
            </w:r>
            <w:r>
              <w:t xml:space="preserve">— non-inferior; per-protocol mortality 1.8% in both arms. Unadjusted defaulting among severe cases 33.8% vs 44.3%. Among recovered children admitted with SAM, 122 vs 193 sachets of ready-to-use food (the standard arm used both RUTF and RUSF).</w:t>
            </w:r>
            <w:r>
              <w:t xml:space="preserve"> </w:t>
            </w:r>
            <w:r>
              <w:rPr>
                <w:b/>
                <w:bCs/>
              </w:rPr>
              <w:t xml:space="preserve">US$918 vs US$1,041</w:t>
            </w:r>
            <w:r>
              <w:t xml:space="preserve"> </w:t>
            </w:r>
            <w:r>
              <w:t xml:space="preserve">per child recovered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OptiMA–ComPAS (Daures et al. 2025)</w:t>
            </w:r>
          </w:p>
        </w:tc>
        <w:tc>
          <w:tcPr/>
          <w:p>
            <w:pPr>
              <w:pStyle w:val="Compact"/>
            </w:pPr>
            <w:r>
              <w:t xml:space="preserve">Individually randomised, Niger; 1,732 children in the primary analysis and 1,140 in the severe-case analysis, with continued enrolment to reach it</w:t>
            </w:r>
          </w:p>
        </w:tc>
        <w:tc>
          <w:tcPr/>
          <w:p>
            <w:pPr>
              <w:pStyle w:val="Compact"/>
            </w:pPr>
            <w:r>
              <w:t xml:space="preserve">Primary outcome at six months after enrolment: alive, meeting the study’s nutritional criteria and without a further episode. ComPAS non-inferior in intention-to-treat and per-protocol analyses; OptiMA in intention-to-treat only. In the severe-case analysis, ComPAS and OptiMA used about 50% and 32% less RUTF respectively. No statistically significant difference in mortality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MANGO (Kangas et al. 2019)</w:t>
            </w:r>
          </w:p>
        </w:tc>
        <w:tc>
          <w:tcPr/>
          <w:p>
            <w:pPr>
              <w:pStyle w:val="Compact"/>
            </w:pPr>
            <w:r>
              <w:t xml:space="preserve">RCT, Burkina Faso</w:t>
            </w:r>
          </w:p>
        </w:tc>
        <w:tc>
          <w:tcPr/>
          <w:p>
            <w:pPr>
              <w:pStyle w:val="Compact"/>
            </w:pPr>
            <w:r>
              <w:t xml:space="preserve">Reduced RUTF dose non-inferior on weight gain, with a small negative effect on height gain (0.2 mm/week), more pronounced among children younger than 12 months</w:t>
            </w:r>
          </w:p>
        </w:tc>
      </w:tr>
    </w:tbl>
    <w:p>
      <w:pPr>
        <w:pStyle w:val="BodyText"/>
      </w:pPr>
      <w:r>
        <w:t xml:space="preserve">At the ComPAS unit costs, a fixed budget would fund about 13% more recoveries (US$1,041 ÷ US$918 − 1),</w:t>
      </w:r>
      <w:r>
        <w:t xml:space="preserve"> </w:t>
      </w:r>
      <w:r>
        <w:t xml:space="preserve">if costs held constant as the programme expanded. This is an illustrative calculation, not an observed</w:t>
      </w:r>
      <w:r>
        <w:t xml:space="preserve"> </w:t>
      </w:r>
      <w:r>
        <w:t xml:space="preserve">effect of scale-up. The Niger endpoint is measured six months after enrolment, not six months after</w:t>
      </w:r>
      <w:r>
        <w:t xml:space="preserve"> </w:t>
      </w:r>
      <w:r>
        <w:t xml:space="preserve">discharge.</w:t>
      </w:r>
    </w:p>
    <w:p>
      <w:pPr>
        <w:pStyle w:val="BodyText"/>
      </w:pPr>
      <w:r>
        <w:rPr>
          <w:b/>
          <w:bCs/>
        </w:rPr>
        <w:t xml:space="preserve">Where the standard protocol did better.</w:t>
      </w:r>
      <w:r>
        <w:t xml:space="preserve"> </w:t>
      </w:r>
      <w:r>
        <w:t xml:space="preserve">In the Niger severe-case analysis, the standard protocol</w:t>
      </w:r>
      <w:r>
        <w:t xml:space="preserve"> </w:t>
      </w:r>
      <w:r>
        <w:t xml:space="preserve">achieved higher nutritional recovery in both intention-to-treat and per-protocol analyses. The authors</w:t>
      </w:r>
      <w:r>
        <w:t xml:space="preserve"> </w:t>
      </w:r>
      <w:r>
        <w:t xml:space="preserve">attribute the difference mainly to attendance: missed visits were more frequent in the simplified arms.</w:t>
      </w:r>
      <w:r>
        <w:t xml:space="preserve"> </w:t>
      </w:r>
      <w:r>
        <w:t xml:space="preserve">Better follow-up is a plausible response, but it was not tested (Daures et al. 2025).</w:t>
      </w:r>
    </w:p>
    <w:p>
      <w:pPr>
        <w:pStyle w:val="BodyText"/>
      </w:pPr>
      <w:r>
        <w:rPr>
          <w:b/>
          <w:bCs/>
        </w:rPr>
        <w:t xml:space="preserve">What simplification saves depends on the setting.</w:t>
      </w:r>
      <w:r>
        <w:t xml:space="preserve"> </w:t>
      </w:r>
      <w:r>
        <w:t xml:space="preserve">In Gao, the community arm using the simplified</w:t>
      </w:r>
      <w:r>
        <w:t xml:space="preserve"> </w:t>
      </w:r>
      <w:r>
        <w:t xml:space="preserve">protocol cost more per child treated than the community arm using the standard protocol (US$210 vs</w:t>
      </w:r>
      <w:r>
        <w:t xml:space="preserve"> </w:t>
      </w:r>
      <w:r>
        <w:t xml:space="preserve">US$179), while cost per child recovered was similar (US$226 vs US$219). RUTF costs for severe cases were</w:t>
      </w:r>
      <w:r>
        <w:t xml:space="preserve"> </w:t>
      </w:r>
      <w:r>
        <w:t xml:space="preserve">US$5.70 lower per child under the simplified protocol, and food was a relatively small share of total cost</w:t>
      </w:r>
      <w:r>
        <w:t xml:space="preserve"> </w:t>
      </w:r>
      <w:r>
        <w:t xml:space="preserve">(Cichon et al. 2025). Lower food use does not translate proportionately into lower programme cost;</w:t>
      </w:r>
      <w:r>
        <w:t xml:space="preserve"> </w:t>
      </w:r>
      <w:r>
        <w:t xml:space="preserve">ScaleWorks should model the whole programme.</w:t>
      </w:r>
    </w:p>
    <w:p>
      <w:pPr>
        <w:pStyle w:val="BodyText"/>
      </w:pPr>
      <w:r>
        <w:rPr>
          <w:b/>
          <w:bCs/>
        </w:rPr>
        <w:t xml:space="preserve">Formulation matters for relapse.</w:t>
      </w:r>
      <w:r>
        <w:t xml:space="preserve"> </w:t>
      </w:r>
      <w:r>
        <w:t xml:space="preserve">The Cochrane review found little or no difference in recovery between</w:t>
      </w:r>
      <w:r>
        <w:t xml:space="preserve"> </w:t>
      </w:r>
      <w:r>
        <w:t xml:space="preserve">standard and alternative RUTF formulations (RR 1.03, 95% CI 0.99–1.08; high-certainty evidence), but</w:t>
      </w:r>
      <w:r>
        <w:t xml:space="preserve"> </w:t>
      </w:r>
      <w:r>
        <w:t xml:space="preserve">standard RUTF reduced relapse compared with the alternative formulations assessed (RR 0.84, 95% CI</w:t>
      </w:r>
      <w:r>
        <w:t xml:space="preserve"> </w:t>
      </w:r>
      <w:r>
        <w:t xml:space="preserve">0.72–0.98; high-certainty evidence) (Schoonees et al. 2019).</w:t>
      </w:r>
    </w:p>
    <w:p>
      <w:pPr>
        <w:pStyle w:val="BodyText"/>
      </w:pPr>
      <w:r>
        <w:rPr>
          <w:b/>
          <w:bCs/>
        </w:rPr>
        <w:t xml:space="preserve">Guideline position.</w:t>
      </w:r>
      <w:r>
        <w:t xml:space="preserve"> </w:t>
      </w:r>
      <w:r>
        <w:t xml:space="preserve">WHO’s 2023 guideline retains RUTF dosing indexed to body weight — 150–185</w:t>
      </w:r>
      <w:r>
        <w:t xml:space="preserve"> </w:t>
      </w:r>
      <w:r>
        <w:t xml:space="preserve">kcal/kg/day, with an option to step down to 100–130 kcal/kg/day once severe wasting and oedema have</w:t>
      </w:r>
      <w:r>
        <w:t xml:space="preserve"> </w:t>
      </w:r>
      <w:r>
        <w:t xml:space="preserve">resolved — and discharge on both weight-for-height and MUAC (WHO 2023). A fixed-dose, MUAC-only protocol</w:t>
      </w:r>
      <w:r>
        <w:t xml:space="preserve"> </w:t>
      </w:r>
      <w:r>
        <w:t xml:space="preserve">therefore differs from WHO’s 2023 recommendations on dosing and discharge. Pooled observational evidence</w:t>
      </w:r>
      <w:r>
        <w:t xml:space="preserve"> </w:t>
      </w:r>
      <w:r>
        <w:t xml:space="preserve">also suggests that discharge on MUAC alone can release children still wasted by weight-for-height, who</w:t>
      </w:r>
      <w:r>
        <w:t xml:space="preserve"> </w:t>
      </w:r>
      <w:r>
        <w:t xml:space="preserve">relapse more often (section 2.3).</w:t>
      </w:r>
    </w:p>
    <w:p>
      <w:pPr>
        <w:pStyle w:val="BodyText"/>
      </w:pPr>
      <w:r>
        <w:rPr>
          <w:b/>
          <w:bCs/>
        </w:rPr>
        <w:t xml:space="preserve">Implications for ScaleWorks</w:t>
      </w:r>
    </w:p>
    <w:p>
      <w:pPr>
        <w:pStyle w:val="Compact"/>
        <w:numPr>
          <w:ilvl w:val="0"/>
          <w:numId w:val="1004"/>
        </w:numPr>
      </w:pPr>
      <w:r>
        <w:t xml:space="preserve">Adopt a specified simplified protocol for eligible outpatients, subject to national authorisation and</w:t>
      </w:r>
      <w:r>
        <w:t xml:space="preserve"> </w:t>
      </w:r>
      <w:r>
        <w:t xml:space="preserve">local assessment of effectiveness, acceptability and feasibility.</w:t>
      </w:r>
    </w:p>
    <w:p>
      <w:pPr>
        <w:pStyle w:val="Compact"/>
        <w:numPr>
          <w:ilvl w:val="0"/>
          <w:numId w:val="1004"/>
        </w:numPr>
      </w:pPr>
      <w:r>
        <w:t xml:space="preserve">Specify the protocol for children with uncomplicated severe wasting separately from that for moderate</w:t>
      </w:r>
      <w:r>
        <w:t xml:space="preserve"> </w:t>
      </w:r>
      <w:r>
        <w:t xml:space="preserve">wasting, taking the Niger severe-case findings into account.</w:t>
      </w:r>
    </w:p>
    <w:p>
      <w:pPr>
        <w:pStyle w:val="Compact"/>
        <w:numPr>
          <w:ilvl w:val="0"/>
          <w:numId w:val="1004"/>
        </w:numPr>
      </w:pPr>
      <w:r>
        <w:t xml:space="preserve">If simplifying for severely wasted children, strengthen and monitor attendance, and evaluate whether that</w:t>
      </w:r>
      <w:r>
        <w:t xml:space="preserve"> </w:t>
      </w:r>
      <w:r>
        <w:t xml:space="preserve">closes the recovery gap.</w:t>
      </w:r>
    </w:p>
    <w:p>
      <w:pPr>
        <w:pStyle w:val="Compact"/>
        <w:numPr>
          <w:ilvl w:val="0"/>
          <w:numId w:val="1004"/>
        </w:numPr>
      </w:pPr>
      <w:r>
        <w:t xml:space="preserve">Where weight-for-height can be measured, evaluate checking it before discharge (section 2.3).</w:t>
      </w:r>
    </w:p>
    <w:p>
      <w:pPr>
        <w:pStyle w:val="Compact"/>
        <w:numPr>
          <w:ilvl w:val="0"/>
          <w:numId w:val="1004"/>
        </w:numPr>
      </w:pPr>
      <w:r>
        <w:t xml:space="preserve">Discuss national guidance, authorisation and evaluation requirements with ministries at the outset.</w:t>
      </w:r>
    </w:p>
    <w:bookmarkEnd w:id="13"/>
    <w:bookmarkStart w:id="14" w:name="sustaining-recovery"/>
    <w:p>
      <w:pPr>
        <w:pStyle w:val="Heading2"/>
      </w:pPr>
      <w:r>
        <w:t xml:space="preserve">2.3 Sustaining recovery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Across Mali, South Sudan and Somalia, 22–63% of children discharged as recovered</w:t>
      </w:r>
      <w:r>
        <w:t xml:space="preserve"> </w:t>
      </w:r>
      <w:r>
        <w:t xml:space="preserve">relapsed within six months. Depending on the setting, they were 1.2–6.2 times as likely to become acutely</w:t>
      </w:r>
      <w:r>
        <w:t xml:space="preserve"> </w:t>
      </w:r>
      <w:r>
        <w:t xml:space="preserve">malnourished as matched peers with no episode in the previous year (King et al. 2025). A child who</w:t>
      </w:r>
      <w:r>
        <w:t xml:space="preserve"> </w:t>
      </w:r>
      <w:r>
        <w:t xml:space="preserve">relapses to severe wasting costs 1.7–2.2 times as much to treat in total as a child who recovers once — an</w:t>
      </w:r>
      <w:r>
        <w:t xml:space="preserve"> </w:t>
      </w:r>
      <w:r>
        <w:t xml:space="preserve">additional US</w:t>
      </w:r>
      <m:oMath>
        <m:r>
          <m:t>64</m:t>
        </m:r>
        <m:r>
          <m:rPr>
            <m:sty m:val="p"/>
          </m:rPr>
          <m:t>–</m:t>
        </m:r>
        <m:r>
          <m:t>215</m:t>
        </m:r>
        <m:r>
          <m:t>p</m:t>
        </m:r>
        <m:r>
          <m:t>e</m:t>
        </m:r>
        <m:r>
          <m:t>r</m:t>
        </m:r>
        <m:r>
          <m:t>c</m:t>
        </m:r>
        <m:r>
          <m:t>h</m:t>
        </m:r>
        <m:r>
          <m:t>i</m:t>
        </m:r>
        <m:r>
          <m:t>l</m:t>
        </m:r>
        <m:r>
          <m:t>d</m:t>
        </m:r>
        <m:r>
          <m:t>f</m:t>
        </m:r>
        <m:r>
          <m:t>o</m:t>
        </m:r>
        <m:r>
          <m:t>r</m:t>
        </m:r>
        <m:r>
          <m:t>r</m:t>
        </m:r>
        <m:r>
          <m:t>e</m:t>
        </m:r>
        <m:r>
          <m:t>t</m:t>
        </m:r>
        <m:r>
          <m:t>r</m:t>
        </m:r>
        <m:r>
          <m:t>e</m:t>
        </m:r>
        <m:r>
          <m:t>a</m:t>
        </m:r>
        <m:r>
          <m:t>t</m:t>
        </m:r>
        <m:r>
          <m:t>m</m:t>
        </m:r>
        <m:r>
          <m:t>e</m:t>
        </m:r>
        <m:r>
          <m:t>n</m:t>
        </m:r>
        <m:r>
          <m:t>t</m:t>
        </m:r>
        <m:r>
          <m:t>a</m:t>
        </m:r>
        <m:r>
          <m:t>c</m:t>
        </m:r>
        <m:r>
          <m:t>r</m:t>
        </m:r>
        <m:r>
          <m:t>o</m:t>
        </m:r>
        <m:r>
          <m:t>s</m:t>
        </m:r>
        <m:r>
          <m:t>s</m:t>
        </m:r>
        <m:r>
          <m:t>t</m:t>
        </m:r>
        <m:r>
          <m:t>h</m:t>
        </m:r>
        <m:r>
          <m:t>e</m:t>
        </m:r>
        <m:r>
          <m:t>t</m:t>
        </m:r>
        <m:r>
          <m:t>h</m:t>
        </m:r>
        <m:r>
          <m:t>r</m:t>
        </m:r>
        <m:r>
          <m:t>e</m:t>
        </m:r>
        <m:r>
          <m:t>e</m:t>
        </m:r>
        <m:r>
          <m:t>s</m:t>
        </m:r>
        <m:r>
          <m:t>e</m:t>
        </m:r>
        <m:r>
          <m:t>t</m:t>
        </m:r>
        <m:r>
          <m:t>t</m:t>
        </m:r>
        <m:r>
          <m:t>i</m:t>
        </m:r>
        <m:r>
          <m:t>n</m:t>
        </m:r>
        <m:r>
          <m:t>g</m:t>
        </m:r>
        <m:r>
          <m:t>s</m:t>
        </m:r>
        <m:r>
          <m:rPr>
            <m:sty m:val="p"/>
          </m:rPr>
          <m:t>(</m:t>
        </m:r>
        <m:r>
          <m:t>2022</m:t>
        </m:r>
        <m:r>
          <m:t>U</m:t>
        </m:r>
        <m:r>
          <m:t>S</m:t>
        </m:r>
      </m:oMath>
      <w:r>
        <w:t xml:space="preserve">). Because a minority of</w:t>
      </w:r>
      <w:r>
        <w:t xml:space="preserve"> </w:t>
      </w:r>
      <w:r>
        <w:t xml:space="preserve">children relapse to severe wasting, however, eliminating relapse would save an average of only US$2–45 per</w:t>
      </w:r>
      <w:r>
        <w:t xml:space="preserve"> </w:t>
      </w:r>
      <w:r>
        <w:t xml:space="preserve">admitted child (Puett et al. 2026).</w:t>
      </w:r>
    </w:p>
    <w:p>
      <w:pPr>
        <w:pStyle w:val="BodyText"/>
      </w:pPr>
      <w:r>
        <w:t xml:space="preserve">This is the least-evidenced stage. What predicts relapse is clearer than what prevents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recovery at discharge</w:t>
            </w:r>
          </w:p>
        </w:tc>
        <w:tc>
          <w:tcPr/>
          <w:p>
            <w:pPr>
              <w:pStyle w:val="Compact"/>
            </w:pPr>
            <w:r>
              <w:t xml:space="preserve">Evaluate discharge criteria and follow-up</w:t>
            </w:r>
          </w:p>
        </w:tc>
        <w:tc>
          <w:tcPr/>
          <w:p>
            <w:pPr>
              <w:pStyle w:val="Compact"/>
            </w:pPr>
            <w:r>
              <w:t xml:space="preserve">King et al. 2025; Kangas et al. 2023; Stobaugh et al. 2017; Guesdon et al. 2026</w:t>
            </w:r>
          </w:p>
        </w:tc>
        <w:tc>
          <w:tcPr/>
          <w:p>
            <w:pPr>
              <w:pStyle w:val="Compact"/>
            </w:pPr>
            <w:r>
              <w:t xml:space="preserve">Consistent prognostic associations, including a pooled analysis of 21 studies; no randomised test of stricter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insecurity after discharge</w:t>
            </w:r>
          </w:p>
        </w:tc>
        <w:tc>
          <w:tcPr/>
          <w:p>
            <w:pPr>
              <w:pStyle w:val="Compact"/>
            </w:pPr>
            <w:r>
              <w:t xml:space="preserve">Cash transfers alongside treatment</w:t>
            </w:r>
          </w:p>
        </w:tc>
        <w:tc>
          <w:tcPr/>
          <w:p>
            <w:pPr>
              <w:pStyle w:val="Compact"/>
            </w:pPr>
            <w:r>
              <w:t xml:space="preserve">Grellety et al. 2017; WHO 2023</w:t>
            </w:r>
          </w:p>
        </w:tc>
        <w:tc>
          <w:tcPr/>
          <w:p>
            <w:pPr>
              <w:pStyle w:val="Compact"/>
            </w:pPr>
            <w:r>
              <w:t xml:space="preserve">One trial; WHO conditional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Relapse risk after discharge</w:t>
            </w:r>
          </w:p>
        </w:tc>
        <w:tc>
          <w:tcPr/>
          <w:p>
            <w:pPr>
              <w:pStyle w:val="Compact"/>
            </w:pPr>
            <w:r>
              <w:t xml:space="preserve">Caregivers screen with MUAC at home</w:t>
            </w:r>
          </w:p>
        </w:tc>
        <w:tc>
          <w:tcPr/>
          <w:p>
            <w:pPr>
              <w:pStyle w:val="Compact"/>
            </w:pPr>
            <w:r>
              <w:t xml:space="preserve">Bountogo et al. 2026</w:t>
            </w:r>
          </w:p>
        </w:tc>
        <w:tc>
          <w:tcPr/>
          <w:p>
            <w:pPr>
              <w:pStyle w:val="Compact"/>
            </w:pPr>
            <w:r>
              <w:t xml:space="preserve">Small feasibility RCT; primary result inconclusive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Illness after discharge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Kangas et al. 2023; King et al. 2025</w:t>
            </w:r>
          </w:p>
        </w:tc>
        <w:tc>
          <w:tcPr/>
          <w:p>
            <w:pPr>
              <w:pStyle w:val="Compact"/>
            </w:pPr>
            <w:r>
              <w:t xml:space="preserve">No intervention reviewed here has an established effect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Assess readiness for discharge.</w:t>
      </w:r>
      <w:r>
        <w:t xml:space="preserve"> </w:t>
      </w:r>
      <w:r>
        <w:t xml:space="preserve">Several studies associate better anthropometric status at discharge</w:t>
      </w:r>
      <w:r>
        <w:t xml:space="preserve"> </w:t>
      </w:r>
      <w:r>
        <w:t xml:space="preserve">with lower subsequent relapse. These findings identify risk; they do not establish the effect of</w:t>
      </w:r>
      <w:r>
        <w:t xml:space="preserve"> </w:t>
      </w:r>
      <w:r>
        <w:t xml:space="preserve">prolonging treatment to reach a higher threshold.</w:t>
      </w:r>
    </w:p>
    <w:p>
      <w:pPr>
        <w:pStyle w:val="Compact"/>
        <w:numPr>
          <w:ilvl w:val="0"/>
          <w:numId w:val="1005"/>
        </w:numPr>
      </w:pPr>
      <w:r>
        <w:t xml:space="preserve">Across Mali, South Sudan and Somalia, better anthropometric status at discharge was associated with</w:t>
      </w:r>
      <w:r>
        <w:t xml:space="preserve"> </w:t>
      </w:r>
      <w:r>
        <w:t xml:space="preserve">lower relapse, and few other characteristics measured at discharge predicted it (King et al. 2025).</w:t>
      </w:r>
    </w:p>
    <w:p>
      <w:pPr>
        <w:pStyle w:val="Compact"/>
        <w:numPr>
          <w:ilvl w:val="0"/>
          <w:numId w:val="1005"/>
        </w:numPr>
      </w:pPr>
      <w:r>
        <w:t xml:space="preserve">Among 420 children treated under a simplified protocol in Mali, each additional millimetre of MUAC at</w:t>
      </w:r>
      <w:r>
        <w:t xml:space="preserve"> </w:t>
      </w:r>
      <w:r>
        <w:t xml:space="preserve">discharge was associated with a 23% lower hazard of relapse (aHR 0.77, 95% CI 0.69–0.86), and a</w:t>
      </w:r>
      <w:r>
        <w:t xml:space="preserve"> </w:t>
      </w:r>
      <w:r>
        <w:t xml:space="preserve">weight-for-age z-score below −3 at discharge with about three times the hazard (aHR 3.09, 95% CI</w:t>
      </w:r>
      <w:r>
        <w:t xml:space="preserve"> </w:t>
      </w:r>
      <w:r>
        <w:t xml:space="preserve">1.69–5.62). The authors conclude that</w:t>
      </w:r>
      <w:r>
        <w:t xml:space="preserve"> </w:t>
      </w:r>
      <w:r>
        <w:t xml:space="preserve">“a higher MUAC cut-off or using an additional anthropometric</w:t>
      </w:r>
      <w:r>
        <w:t xml:space="preserve"> </w:t>
      </w:r>
      <w:r>
        <w:t xml:space="preserve">indicator is needed to ensure sustainable recovery”</w:t>
      </w:r>
      <w:r>
        <w:t xml:space="preserve"> </w:t>
      </w:r>
      <w:r>
        <w:t xml:space="preserve">(Kangas et al. 2023).</w:t>
      </w:r>
    </w:p>
    <w:p>
      <w:pPr>
        <w:pStyle w:val="Compact"/>
        <w:numPr>
          <w:ilvl w:val="0"/>
          <w:numId w:val="1005"/>
        </w:numPr>
      </w:pPr>
      <w:r>
        <w:t xml:space="preserve">In a cluster RCT in Malawi, smaller MUAC and lower weight-for-height at discharge predicted relapse or</w:t>
      </w:r>
      <w:r>
        <w:t xml:space="preserve"> </w:t>
      </w:r>
      <w:r>
        <w:t xml:space="preserve">death after moderate acute malnutrition (Stobaugh et al. 2017).</w:t>
      </w:r>
    </w:p>
    <w:p>
      <w:pPr>
        <w:pStyle w:val="Compact"/>
        <w:numPr>
          <w:ilvl w:val="0"/>
          <w:numId w:val="1005"/>
        </w:numPr>
      </w:pPr>
      <w:r>
        <w:t xml:space="preserve">The largest analysis pooled 21 studies in 13 countries covering 15,394 children discharged as cured.</w:t>
      </w:r>
      <w:r>
        <w:t xml:space="preserve"> </w:t>
      </w:r>
      <w:r>
        <w:t xml:space="preserve">Children who still met moderate-wasting criteria at discharge relapsed to severe wasting at 14.2%</w:t>
      </w:r>
      <w:r>
        <w:t xml:space="preserve"> </w:t>
      </w:r>
      <w:r>
        <w:t xml:space="preserve">(13.2–15.2) within six months, against 5.2% (4.8–5.6) for those who did not. Children still wasted by</w:t>
      </w:r>
      <w:r>
        <w:t xml:space="preserve"> </w:t>
      </w:r>
      <w:r>
        <w:t xml:space="preserve">weight-for-height fared worst — 19.2% against 9.4% for those wasted by MUAC — and a MUAC-only definition</w:t>
      </w:r>
      <w:r>
        <w:t xml:space="preserve"> </w:t>
      </w:r>
      <w:r>
        <w:t xml:space="preserve">of severe wasting would have missed more than 60% of relapse cases. The authors conclude that both MUAC</w:t>
      </w:r>
      <w:r>
        <w:t xml:space="preserve"> </w:t>
      </w:r>
      <w:r>
        <w:t xml:space="preserve">and weight-for-height should exceed moderate-wasting cut-offs before discharge (Guesdon et al. 2026).</w:t>
      </w:r>
    </w:p>
    <w:p>
      <w:pPr>
        <w:pStyle w:val="FirstParagraph"/>
      </w:pPr>
      <w:r>
        <w:t xml:space="preserve">This last finding bears directly on simplified protocols, which discharge on MUAC alone. The Niger trial</w:t>
      </w:r>
      <w:r>
        <w:t xml:space="preserve"> </w:t>
      </w:r>
      <w:r>
        <w:t xml:space="preserve">found ComPAS non-inferior on its six-month outcome (Daures et al. 2025), but that outcome did not count</w:t>
      </w:r>
      <w:r>
        <w:t xml:space="preserve"> </w:t>
      </w:r>
      <w:r>
        <w:t xml:space="preserve">moderate wasting by weight-for-height as a failure, so the two findings can both hold. Neither is a</w:t>
      </w:r>
      <w:r>
        <w:t xml:space="preserve"> </w:t>
      </w:r>
      <w:r>
        <w:t xml:space="preserve">randomised test of discharge criteria. Changing discharge criteria could also lengthen treatment and raise</w:t>
      </w:r>
      <w:r>
        <w:t xml:space="preserve"> </w:t>
      </w:r>
      <w:r>
        <w:t xml:space="preserve">food use, caregiver burden and defaulting, so the net effect needs evaluation.</w:t>
      </w:r>
    </w:p>
    <w:p>
      <w:pPr>
        <w:pStyle w:val="BodyText"/>
      </w:pPr>
      <w:r>
        <w:rPr>
          <w:b/>
          <w:bCs/>
        </w:rPr>
        <w:t xml:space="preserve">Support households during and after treatment.</w:t>
      </w:r>
      <w:r>
        <w:t xml:space="preserve"> </w:t>
      </w:r>
      <w:r>
        <w:t xml:space="preserve">In a cluster RCT in the Democratic Republic of the</w:t>
      </w:r>
      <w:r>
        <w:t xml:space="preserve"> </w:t>
      </w:r>
      <w:r>
        <w:t xml:space="preserve">Congo, households of children treated for uncomplicated severe acute malnutrition received US$40 a month</w:t>
      </w:r>
      <w:r>
        <w:t xml:space="preserve"> </w:t>
      </w:r>
      <w:r>
        <w:t xml:space="preserve">for six months alongside standard treatment. Relapse fell sharply — adjusted hazard ratios of 0.21</w:t>
      </w:r>
      <w:r>
        <w:t xml:space="preserve"> </w:t>
      </w:r>
      <w:r>
        <w:t xml:space="preserve">(0.11–0.41) for relapse to moderate and 0.30 (0.16–0.58) for relapse to severe acute malnutrition —</w:t>
      </w:r>
      <w:r>
        <w:t xml:space="preserve"> </w:t>
      </w:r>
      <w:r>
        <w:t xml:space="preserve">defaulting fell from 6.0% to 1.4%, and the hazard of reaching full recovery rose (aHR 1.35, 95% CI</w:t>
      </w:r>
      <w:r>
        <w:t xml:space="preserve"> </w:t>
      </w:r>
      <w:r>
        <w:t xml:space="preserve">1.10–1.69) (Grellety et al. 2017). WHO’s 2023 guideline conditionally recommends cash transfers alongside</w:t>
      </w:r>
      <w:r>
        <w:t xml:space="preserve"> </w:t>
      </w:r>
      <w:r>
        <w:t xml:space="preserve">routine care to reduce relapse, on moderate-certainty evidence; it makes no recommendation on cash</w:t>
      </w:r>
      <w:r>
        <w:t xml:space="preserve"> </w:t>
      </w:r>
      <w:r>
        <w:t xml:space="preserve">transfers for preventing wasting (WHO 2023).</w:t>
      </w:r>
    </w:p>
    <w:p>
      <w:pPr>
        <w:pStyle w:val="BodyText"/>
      </w:pPr>
      <w:r>
        <w:t xml:space="preserve">Three caveats apply. This is one trial: a 2023 systematic review of post-discharge interventions</w:t>
      </w:r>
      <w:r>
        <w:t xml:space="preserve"> </w:t>
      </w:r>
      <w:r>
        <w:t xml:space="preserve">identified no other trial of cash transfers (Bliznashka et al. 2023). The transfers totalled US$240 per</w:t>
      </w:r>
      <w:r>
        <w:t xml:space="preserve"> </w:t>
      </w:r>
      <w:r>
        <w:t xml:space="preserve">household over six months, before delivery costs — substantial relative to some treatment-cost estimates,</w:t>
      </w:r>
      <w:r>
        <w:t xml:space="preserve"> </w:t>
      </w:r>
      <w:r>
        <w:t xml:space="preserve">though cross-study costs are not directly comparable. And the trial did not estimate cost-effectiveness, so</w:t>
      </w:r>
      <w:r>
        <w:t xml:space="preserve"> </w:t>
      </w:r>
      <w:r>
        <w:t xml:space="preserve">ScaleWorks would need to cost the full intervention locally.</w:t>
      </w:r>
    </w:p>
    <w:p>
      <w:pPr>
        <w:pStyle w:val="BodyText"/>
      </w:pPr>
      <w:r>
        <w:rPr>
          <w:b/>
          <w:bCs/>
        </w:rPr>
        <w:t xml:space="preserve">Evaluate caregiver screening after discharge.</w:t>
      </w:r>
      <w:r>
        <w:t xml:space="preserve"> </w:t>
      </w:r>
      <w:r>
        <w:t xml:space="preserve">A feasibility RCT in Burkina Faso randomised 200</w:t>
      </w:r>
      <w:r>
        <w:t xml:space="preserve"> </w:t>
      </w:r>
      <w:r>
        <w:t xml:space="preserve">caregiver–child pairs to weekly caregiver MUAC screening or standard follow-up. The primary result — time</w:t>
      </w:r>
      <w:r>
        <w:t xml:space="preserve"> </w:t>
      </w:r>
      <w:r>
        <w:t xml:space="preserve">to detection of relapse — was inconclusive (HR 0.65, 95% CI 0.38–1.12). Hospitalisation or death was less</w:t>
      </w:r>
      <w:r>
        <w:t xml:space="preserve"> </w:t>
      </w:r>
      <w:r>
        <w:t xml:space="preserve">frequent in the screening arm (3% vs 14%), but this was a secondary outcome in a small trial (Bountogo et</w:t>
      </w:r>
      <w:r>
        <w:t xml:space="preserve"> </w:t>
      </w:r>
      <w:r>
        <w:t xml:space="preserve">al. 2026). A full-scale trial is registered (NCT06599580). Earlier detection and fewer relapses are the</w:t>
      </w:r>
      <w:r>
        <w:t xml:space="preserve"> </w:t>
      </w:r>
      <w:r>
        <w:t xml:space="preserve">intended benefits, not established ones.</w:t>
      </w:r>
    </w:p>
    <w:p>
      <w:pPr>
        <w:pStyle w:val="BodyText"/>
      </w:pPr>
      <w:r>
        <w:rPr>
          <w:b/>
          <w:bCs/>
        </w:rPr>
        <w:t xml:space="preserve">Illness.</w:t>
      </w:r>
      <w:r>
        <w:t xml:space="preserve"> </w:t>
      </w:r>
      <w:r>
        <w:t xml:space="preserve">Illness after discharge predicts relapse: in Mali, each additional day of illness per month of</w:t>
      </w:r>
      <w:r>
        <w:t xml:space="preserve"> </w:t>
      </w:r>
      <w:r>
        <w:t xml:space="preserve">follow-up was associated with a 30% higher hazard (aHR 1.30, 95% CI 1.24–1.35) (Kangas et al. 2023; King</w:t>
      </w:r>
      <w:r>
        <w:t xml:space="preserve"> </w:t>
      </w:r>
      <w:r>
        <w:t xml:space="preserve">et al. 2025). The evidence reviewed here does not identify a post-discharge package that reduces</w:t>
      </w:r>
      <w:r>
        <w:t xml:space="preserve"> </w:t>
      </w:r>
      <w:r>
        <w:t xml:space="preserve">illness-associated relapse.</w:t>
      </w:r>
    </w:p>
    <w:p>
      <w:pPr>
        <w:pStyle w:val="BodyText"/>
      </w:pPr>
      <w:r>
        <w:rPr>
          <w:b/>
          <w:bCs/>
        </w:rPr>
        <w:t xml:space="preserve">Interventions without established nutritional benefit.</w:t>
      </w:r>
      <w:r>
        <w:t xml:space="preserve"> </w:t>
      </w:r>
      <w:r>
        <w:t xml:space="preserve">Two approaches did not show consistent</w:t>
      </w:r>
      <w:r>
        <w:t xml:space="preserve"> </w:t>
      </w:r>
      <w:r>
        <w:t xml:space="preserve">improvements in the nutritional outcomes they assessed.</w:t>
      </w:r>
    </w:p>
    <w:p>
      <w:pPr>
        <w:pStyle w:val="Compact"/>
        <w:numPr>
          <w:ilvl w:val="0"/>
          <w:numId w:val="1006"/>
        </w:numPr>
      </w:pPr>
      <w:r>
        <w:t xml:space="preserve">A package of lipid-based nutrient supplement, deworming, zinc, a bed net and malaria chemoprophylaxis,</w:t>
      </w:r>
      <w:r>
        <w:t xml:space="preserve"> </w:t>
      </w:r>
      <w:r>
        <w:t xml:space="preserve">given after treatment for moderate acute malnutrition in Malawi: 56% of children sustained recovery for a</w:t>
      </w:r>
      <w:r>
        <w:t xml:space="preserve"> </w:t>
      </w:r>
      <w:r>
        <w:t xml:space="preserve">year, against 53% of controls, a difference that was not statistically significant (P = 0.38) (Stobaugh</w:t>
      </w:r>
      <w:r>
        <w:t xml:space="preserve"> </w:t>
      </w:r>
      <w:r>
        <w:t xml:space="preserve">et al. 2017).</w:t>
      </w:r>
    </w:p>
    <w:p>
      <w:pPr>
        <w:pStyle w:val="Compact"/>
        <w:numPr>
          <w:ilvl w:val="0"/>
          <w:numId w:val="1006"/>
        </w:numPr>
      </w:pPr>
      <w:r>
        <w:t xml:space="preserve">Psychosocial stimulation for children: three trials in a 2023 systematic review showed no consistent</w:t>
      </w:r>
      <w:r>
        <w:t xml:space="preserve"> </w:t>
      </w:r>
      <w:r>
        <w:t xml:space="preserve">nutritional benefit. None measured relapse (Bliznashka et al. 2023).</w:t>
      </w:r>
    </w:p>
    <w:p>
      <w:pPr>
        <w:pStyle w:val="FirstParagraph"/>
      </w:pPr>
      <w:r>
        <w:t xml:space="preserve">The Malawi result is a caution against assuming that more services after discharge will reduce relapse.</w:t>
      </w:r>
    </w:p>
    <w:p>
      <w:pPr>
        <w:pStyle w:val="BodyText"/>
      </w:pPr>
      <w:r>
        <w:rPr>
          <w:b/>
          <w:bCs/>
        </w:rPr>
        <w:t xml:space="preserve">Building the evidence.</w:t>
      </w:r>
      <w:r>
        <w:t xml:space="preserve"> </w:t>
      </w:r>
      <w:r>
        <w:t xml:space="preserve">Relapse is measured inconsistently. A review of 26 studies and programme reports</w:t>
      </w:r>
      <w:r>
        <w:t xml:space="preserve"> </w:t>
      </w:r>
      <w:r>
        <w:t xml:space="preserve">found relapse ranging from 0% to 37% and concluded that</w:t>
      </w:r>
      <w:r>
        <w:t xml:space="preserve"> </w:t>
      </w:r>
      <w:r>
        <w:t xml:space="preserve">“the lack of a standard definition of relapse</w:t>
      </w:r>
      <w:r>
        <w:t xml:space="preserve"> </w:t>
      </w:r>
      <w:r>
        <w:t xml:space="preserve">limited comparability”</w:t>
      </w:r>
      <w:r>
        <w:t xml:space="preserve"> </w:t>
      </w:r>
      <w:r>
        <w:t xml:space="preserve">(Stobaugh et al. 2019). A programme designed to scale can help close this gap.</w:t>
      </w:r>
    </w:p>
    <w:p>
      <w:pPr>
        <w:pStyle w:val="BodyText"/>
      </w:pPr>
      <w:r>
        <w:rPr>
          <w:b/>
          <w:bCs/>
        </w:rPr>
        <w:t xml:space="preserve">Implications for ScaleWorks</w:t>
      </w:r>
    </w:p>
    <w:p>
      <w:pPr>
        <w:pStyle w:val="Compact"/>
        <w:numPr>
          <w:ilvl w:val="0"/>
          <w:numId w:val="1007"/>
        </w:numPr>
      </w:pPr>
      <w:r>
        <w:t xml:space="preserve">Review discharge practice against national and WHO recommendations. Treat a higher MUAC threshold, or</w:t>
      </w:r>
      <w:r>
        <w:t xml:space="preserve"> </w:t>
      </w:r>
      <w:r>
        <w:t xml:space="preserve">adding weight-for-height or weight-for-age, as options to evaluate, with attention to resource use.</w:t>
      </w:r>
    </w:p>
    <w:p>
      <w:pPr>
        <w:pStyle w:val="Compact"/>
        <w:numPr>
          <w:ilvl w:val="0"/>
          <w:numId w:val="1007"/>
        </w:numPr>
      </w:pPr>
      <w:r>
        <w:t xml:space="preserve">Consider cash transfers where food insecurity is high and funding allows, and cost them from the outset.</w:t>
      </w:r>
    </w:p>
    <w:p>
      <w:pPr>
        <w:pStyle w:val="Compact"/>
        <w:numPr>
          <w:ilvl w:val="0"/>
          <w:numId w:val="1007"/>
        </w:numPr>
      </w:pPr>
      <w:r>
        <w:t xml:space="preserve">Measure cumulative relapse over six months after discharge, with a prespecified definition that uses</w:t>
      </w:r>
      <w:r>
        <w:t xml:space="preserve"> </w:t>
      </w:r>
      <w:r>
        <w:t xml:space="preserve">both MUAC and weight-for-height, and report mortality and loss to follow-up separately. A single</w:t>
      </w:r>
      <w:r>
        <w:t xml:space="preserve"> </w:t>
      </w:r>
      <w:r>
        <w:t xml:space="preserve">assessment at month six will miss intervening episodes.</w:t>
      </w:r>
    </w:p>
    <w:bookmarkEnd w:id="14"/>
    <w:bookmarkStart w:id="15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Strength of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Reaching treatment</w:t>
            </w:r>
          </w:p>
        </w:tc>
        <w:tc>
          <w:tcPr/>
          <w:p>
            <w:pPr>
              <w:pStyle w:val="Compact"/>
            </w:pPr>
            <w:r>
              <w:t xml:space="preserve">Screen children at every facility contact; decentralise treatment, not only screening; align screening, referral and admission criteria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Moderate.</w:t>
            </w:r>
            <w:r>
              <w:t xml:space="preserve"> </w:t>
            </w:r>
            <w:r>
              <w:t xml:space="preserve">One cluster RCT (Gao) with an economic evaluation, plus a single-cluster trial and an observational comparison; WHO and Cochrane rate CHW-delivered treatment as very low 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Use a specified simplified protocol for eligible outpatients, subject to national authorisation; decide the protocol for severely wasted children in light of the Niger findings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 to strong</w:t>
            </w:r>
            <w:r>
              <w:t xml:space="preserve"> </w:t>
            </w:r>
            <w:r>
              <w:t xml:space="preserve">for the non-inferiority of ComPAS (two large RCTs);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for children with MUAC below 115 mm or oedema, where the standard protocol did better; differs from WHO 2023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Sustaining recovery</w:t>
            </w:r>
          </w:p>
        </w:tc>
        <w:tc>
          <w:tcPr/>
          <w:p>
            <w:pPr>
              <w:pStyle w:val="Compact"/>
            </w:pPr>
            <w:r>
              <w:t xml:space="preserve">Review discharge practice, including weight-for-height where feasible; consider cash transfers where food insecurity is high; measure cumulative relapse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Weakest stage.</w:t>
            </w:r>
            <w:r>
              <w:t xml:space="preserve"> </w:t>
            </w:r>
            <w:r>
              <w:t xml:space="preserve">Consistent prognostic evidence on discharge status, including a pooled analysis of 21 studies; one trial for cash transfers; feasibility evidence only for caregiver screening</w:t>
            </w:r>
          </w:p>
        </w:tc>
      </w:tr>
    </w:tbl>
    <w:bookmarkEnd w:id="15"/>
    <w:bookmarkStart w:id="16" w:name="other-factors-worth-exploring"/>
    <w:p>
      <w:pPr>
        <w:pStyle w:val="Heading2"/>
      </w:pPr>
      <w:r>
        <w:t xml:space="preserve">Other factors worth exploring</w:t>
      </w:r>
    </w:p>
    <w:p>
      <w:pPr>
        <w:pStyle w:val="FirstParagraph"/>
      </w:pPr>
      <w:r>
        <w:t xml:space="preserve">The evidence reviewed here concentrates on delivery, dosing and household support. Less studied is the</w:t>
      </w:r>
      <w:r>
        <w:t xml:space="preserve"> </w:t>
      </w:r>
      <w:r>
        <w:t xml:space="preserve">caregiver’s own wellbeing. A randomised trial in Gombe State, Nigeria, is testing whether a brief</w:t>
      </w:r>
      <w:r>
        <w:t xml:space="preserve"> </w:t>
      </w:r>
      <w:r>
        <w:t xml:space="preserve">psychological intervention for caregivers with depressive symptoms — WHO’s Problem Management Plus,</w:t>
      </w:r>
      <w:r>
        <w:t xml:space="preserve"> </w:t>
      </w:r>
      <w:r>
        <w:t xml:space="preserve">delivered by community health workers alongside standard CMAM — improves child recovery and growth (Park,</w:t>
      </w:r>
      <w:r>
        <w:t xml:space="preserve"> </w:t>
      </w:r>
      <w:r>
        <w:t xml:space="preserve">Zhao and Ostrowski, working paper; AEA RCT Registry 13766). Results are not yet public, and the question remains open.</w:t>
      </w:r>
    </w:p>
    <w:bookmarkEnd w:id="16"/>
    <w:bookmarkEnd w:id="17"/>
    <w:bookmarkStart w:id="18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8"/>
        </w:numPr>
      </w:pPr>
      <w:r>
        <w:t xml:space="preserve">Alvarez Morán JL, Alé GBF, Charle P, et al. The effectiveness of treatment for severe acute malnutrition (SAM) delivered by community health workers compared to a traditional facility based model.</w:t>
      </w:r>
      <w:r>
        <w:t xml:space="preserve"> </w:t>
      </w:r>
      <w:r>
        <w:rPr>
          <w:i/>
          <w:iCs/>
        </w:rPr>
        <w:t xml:space="preserve">BMC Health Services Research</w:t>
      </w:r>
      <w:r>
        <w:t xml:space="preserve"> </w:t>
      </w:r>
      <w:r>
        <w:t xml:space="preserve">2018;18(1):207. doi:10.1186/s12913-018-2987-z</w:t>
      </w:r>
    </w:p>
    <w:p>
      <w:pPr>
        <w:pStyle w:val="Compact"/>
        <w:numPr>
          <w:ilvl w:val="0"/>
          <w:numId w:val="1008"/>
        </w:numPr>
      </w:pPr>
      <w:r>
        <w:t xml:space="preserve">Bailey J, Opondo C, Lelijveld N, et al. A simplified, combined protocol versus standard treatment for acute malnutrition in children 6–59 months (ComPAS trial): a cluster-randomized controlled non-inferiority trial in Kenya and South Sudan.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 </w:t>
      </w:r>
      <w:r>
        <w:t xml:space="preserve">2020;17(7):e1003192. PMID 32645109.</w:t>
      </w:r>
    </w:p>
    <w:p>
      <w:pPr>
        <w:pStyle w:val="Compact"/>
        <w:numPr>
          <w:ilvl w:val="0"/>
          <w:numId w:val="1008"/>
        </w:numPr>
      </w:pPr>
      <w:r>
        <w:t xml:space="preserve">Bliznashka L, Rattigan SM, Sudfeld CR, et al. Analysis of postdischarge interventions for children treated for moderate or severe wasting, growth faltering or failure, or edema: a systematic review.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 </w:t>
      </w:r>
      <w:r>
        <w:t xml:space="preserve">2023;6(5):e2315077. doi:10.1001/jamanetworkopen.2023.15077</w:t>
      </w:r>
    </w:p>
    <w:p>
      <w:pPr>
        <w:pStyle w:val="Compact"/>
        <w:numPr>
          <w:ilvl w:val="0"/>
          <w:numId w:val="1008"/>
        </w:numPr>
      </w:pPr>
      <w:r>
        <w:t xml:space="preserve">Bountogo M, Dah C, Ouédraogo M, et al. Caregiver screening for relapse among children recently recovered from severe acute malnutrition: a randomized controlled feasibility trial.</w:t>
      </w:r>
      <w:r>
        <w:t xml:space="preserve"> </w:t>
      </w:r>
      <w:r>
        <w:rPr>
          <w:i/>
          <w:iCs/>
        </w:rPr>
        <w:t xml:space="preserve">Maternal &amp; Child Nutrition</w:t>
      </w:r>
      <w:r>
        <w:t xml:space="preserve"> </w:t>
      </w:r>
      <w:r>
        <w:t xml:space="preserve">2026;22(1):e70160. doi:10.1111/mcn.70160</w:t>
      </w:r>
    </w:p>
    <w:p>
      <w:pPr>
        <w:pStyle w:val="Compact"/>
        <w:numPr>
          <w:ilvl w:val="0"/>
          <w:numId w:val="1008"/>
        </w:numPr>
      </w:pPr>
      <w:r>
        <w:t xml:space="preserve">Cichon B, López-Ejeda N, Samake S, et al. Cost-effectiveness of decentralising acute malnutrition treatment with a standard or simplified treatment protocol: an economic evaluation in the region of Gao, Mali.</w:t>
      </w:r>
      <w:r>
        <w:t xml:space="preserve"> </w:t>
      </w:r>
      <w:r>
        <w:rPr>
          <w:i/>
          <w:iCs/>
        </w:rPr>
        <w:t xml:space="preserve">BMC Public Health</w:t>
      </w:r>
      <w:r>
        <w:t xml:space="preserve"> </w:t>
      </w:r>
      <w:r>
        <w:t xml:space="preserve">2025;25(1):233. doi:10.1186/s12889-025-21411-5</w:t>
      </w:r>
    </w:p>
    <w:p>
      <w:pPr>
        <w:pStyle w:val="Compact"/>
        <w:numPr>
          <w:ilvl w:val="0"/>
          <w:numId w:val="1008"/>
        </w:numPr>
      </w:pPr>
      <w:r>
        <w:t xml:space="preserve">Dalglish SL, Seni Badou M, Sirat A, et al. Combined protocol for severe and moderate acute malnutrition in emergencies: stakeholders perspectives in four countries.</w:t>
      </w:r>
      <w:r>
        <w:t xml:space="preserve"> </w:t>
      </w:r>
      <w:r>
        <w:rPr>
          <w:i/>
          <w:iCs/>
        </w:rPr>
        <w:t xml:space="preserve">Maternal &amp; Child Nutrition</w:t>
      </w:r>
      <w:r>
        <w:t xml:space="preserve"> </w:t>
      </w:r>
      <w:r>
        <w:t xml:space="preserve">2020;16(2):e12920. doi:10.1111/mcn.12920</w:t>
      </w:r>
    </w:p>
    <w:p>
      <w:pPr>
        <w:pStyle w:val="Compact"/>
        <w:numPr>
          <w:ilvl w:val="0"/>
          <w:numId w:val="1008"/>
        </w:numPr>
      </w:pPr>
      <w:r>
        <w:t xml:space="preserve">Daures M, Hien J, Phelan K, et al. Optimizing management of uncomplicated acute malnutrition in children in rural Niger: a 3-arm individually randomized, controlled, noninferiority trial.</w:t>
      </w:r>
      <w:r>
        <w:t xml:space="preserve"> </w:t>
      </w:r>
      <w:r>
        <w:rPr>
          <w:i/>
          <w:iCs/>
        </w:rPr>
        <w:t xml:space="preserve">American Journal of Clinical Nutrition</w:t>
      </w:r>
      <w:r>
        <w:t xml:space="preserve"> </w:t>
      </w:r>
      <w:r>
        <w:t xml:space="preserve">2025;122(4):972–985. PMID 41043877.</w:t>
      </w:r>
    </w:p>
    <w:p>
      <w:pPr>
        <w:pStyle w:val="Compact"/>
        <w:numPr>
          <w:ilvl w:val="0"/>
          <w:numId w:val="1008"/>
        </w:numPr>
      </w:pPr>
      <w:r>
        <w:t xml:space="preserve">FAO, UNHCR, UNICEF, WFP, WHO.</w:t>
      </w:r>
      <w:r>
        <w:t xml:space="preserve"> </w:t>
      </w:r>
      <w:r>
        <w:rPr>
          <w:i/>
          <w:iCs/>
        </w:rPr>
        <w:t xml:space="preserve">Global Action Plan on Child Wasting: a framework for action to accelerate progress in preventing and managing child wasting and the achievement of the Sustainable Development Goals.</w:t>
      </w:r>
      <w:r>
        <w:t xml:space="preserve"> </w:t>
      </w:r>
      <w:r>
        <w:t xml:space="preserve">2020.</w:t>
      </w:r>
    </w:p>
    <w:p>
      <w:pPr>
        <w:pStyle w:val="Compact"/>
        <w:numPr>
          <w:ilvl w:val="0"/>
          <w:numId w:val="1008"/>
        </w:numPr>
      </w:pPr>
      <w:r>
        <w:t xml:space="preserve">GiveWell.</w:t>
      </w:r>
      <w:r>
        <w:t xml:space="preserve"> </w:t>
      </w:r>
      <w:r>
        <w:rPr>
          <w:i/>
          <w:iCs/>
        </w:rPr>
        <w:t xml:space="preserve">Taimaka — acute malnutrition treatment in Gombe State, Nigeria (November 2024) and program monitoring (March 2025).</w:t>
      </w:r>
      <w:r>
        <w:t xml:space="preserve"> </w:t>
      </w:r>
      <w:r>
        <w:t xml:space="preserve">Accessed September 2026.</w:t>
      </w:r>
    </w:p>
    <w:p>
      <w:pPr>
        <w:pStyle w:val="Compact"/>
        <w:numPr>
          <w:ilvl w:val="0"/>
          <w:numId w:val="1008"/>
        </w:numPr>
      </w:pPr>
      <w:r>
        <w:t xml:space="preserve">Grellety E, Babakazo P, Bangana A, et al. Effects of unconditional cash transfers on the outcome of treatment for severe acute malnutrition (SAM): a cluster-randomised trial in the Democratic Republic of the Congo.</w:t>
      </w:r>
      <w:r>
        <w:t xml:space="preserve"> </w:t>
      </w:r>
      <w:r>
        <w:rPr>
          <w:i/>
          <w:iCs/>
        </w:rPr>
        <w:t xml:space="preserve">BMC Medicine</w:t>
      </w:r>
      <w:r>
        <w:t xml:space="preserve"> </w:t>
      </w:r>
      <w:r>
        <w:t xml:space="preserve">2017;15(1):87. PMID 28441944.</w:t>
      </w:r>
    </w:p>
    <w:p>
      <w:pPr>
        <w:pStyle w:val="Compact"/>
        <w:numPr>
          <w:ilvl w:val="0"/>
          <w:numId w:val="1008"/>
        </w:numPr>
      </w:pPr>
      <w:r>
        <w:t xml:space="preserve">Guesdon B, Rattigan SM, Grellety E, et al. Relevance of more stringent discharge standards for acute malnutrition treatment: a pooled analysis of posttreatment relapse in 21 studies.</w:t>
      </w:r>
      <w:r>
        <w:t xml:space="preserve"> </w:t>
      </w:r>
      <w:r>
        <w:rPr>
          <w:i/>
          <w:iCs/>
        </w:rPr>
        <w:t xml:space="preserve">American Journal of Clinical Nutrition</w:t>
      </w:r>
      <w:r>
        <w:t xml:space="preserve"> </w:t>
      </w:r>
      <w:r>
        <w:t xml:space="preserve">2026;123(5):101264. doi:10.1016/j.ajcnut.2026.101264. PMID 41825529.</w:t>
      </w:r>
    </w:p>
    <w:p>
      <w:pPr>
        <w:pStyle w:val="Compact"/>
        <w:numPr>
          <w:ilvl w:val="0"/>
          <w:numId w:val="1008"/>
        </w:numPr>
      </w:pPr>
      <w:r>
        <w:t xml:space="preserve">Huybregts L, Le Port A, Becquey E, et al. Impact on child acute malnutrition of integrating small-quantity lipid-based nutrient supplements into community-level screening for acute malnutrition: a cluster-randomized controlled trial in Mali.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 </w:t>
      </w:r>
      <w:r>
        <w:t xml:space="preserve">2019;16(8):e1002892. PMID 31454356.</w:t>
      </w:r>
    </w:p>
    <w:p>
      <w:pPr>
        <w:pStyle w:val="Compact"/>
        <w:numPr>
          <w:ilvl w:val="0"/>
          <w:numId w:val="1008"/>
        </w:numPr>
      </w:pPr>
      <w:r>
        <w:t xml:space="preserve">IA partner feedback. Technical expert feedback on the initial intervention synthesis, Impact Alliance member organisations. Unpublished, July 2026.</w:t>
      </w:r>
    </w:p>
    <w:p>
      <w:pPr>
        <w:pStyle w:val="Compact"/>
        <w:numPr>
          <w:ilvl w:val="0"/>
          <w:numId w:val="1008"/>
        </w:numPr>
      </w:pPr>
      <w:r>
        <w:t xml:space="preserve">Kangas ST, Coulibaly IN, Tausanovitch Z, et al. Post-recovery relapse of children treated with a simplified, combined nutrition treatment protocol in Mali: a prospective cohort study.</w:t>
      </w:r>
      <w:r>
        <w:t xml:space="preserve"> </w:t>
      </w:r>
      <w:r>
        <w:rPr>
          <w:i/>
          <w:iCs/>
        </w:rPr>
        <w:t xml:space="preserve">Nutrients</w:t>
      </w:r>
      <w:r>
        <w:t xml:space="preserve"> </w:t>
      </w:r>
      <w:r>
        <w:t xml:space="preserve">2023;15(11):2636. doi:10.3390/nu15112636</w:t>
      </w:r>
    </w:p>
    <w:p>
      <w:pPr>
        <w:pStyle w:val="Compact"/>
        <w:numPr>
          <w:ilvl w:val="0"/>
          <w:numId w:val="1008"/>
        </w:numPr>
      </w:pPr>
      <w:r>
        <w:t xml:space="preserve">Kangas ST, Salpéteur C, Nikièma V, et al. Impact of reduced dose of ready-to-use therapeutic foods in children with uncomplicated severe acute malnutrition (MANGO trial).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 </w:t>
      </w:r>
      <w:r>
        <w:t xml:space="preserve">2019;16(8):e1002887. PMID 31454351.</w:t>
      </w:r>
    </w:p>
    <w:p>
      <w:pPr>
        <w:pStyle w:val="Compact"/>
        <w:numPr>
          <w:ilvl w:val="0"/>
          <w:numId w:val="1008"/>
        </w:numPr>
      </w:pPr>
      <w:r>
        <w:t xml:space="preserve">King S, Marshak A, D’Mello-Guyett L, et al. Rates and risk factors for relapse among children recovered from severe acute malnutrition in Mali, South Sudan, and Somalia: a prospective cohort study.</w:t>
      </w:r>
      <w:r>
        <w:t xml:space="preserve"> </w:t>
      </w:r>
      <w:r>
        <w:rPr>
          <w:i/>
          <w:iCs/>
        </w:rPr>
        <w:t xml:space="preserve">Lancet Global Health</w:t>
      </w:r>
      <w:r>
        <w:t xml:space="preserve"> </w:t>
      </w:r>
      <w:r>
        <w:t xml:space="preserve">2025;13(1):e98–e111. PMID 39706667.</w:t>
      </w:r>
    </w:p>
    <w:p>
      <w:pPr>
        <w:pStyle w:val="Compact"/>
        <w:numPr>
          <w:ilvl w:val="0"/>
          <w:numId w:val="1008"/>
        </w:numPr>
      </w:pPr>
      <w:r>
        <w:t xml:space="preserve">López-Ejeda N, Charle-Cuéllar P, Samake S, et al. Effectiveness of decentralizing outpatient acute malnutrition treatment with community health workers and a simplified combined protocol: a cluster randomized controlled trial in emergency settings of Mali.</w:t>
      </w:r>
      <w:r>
        <w:t xml:space="preserve"> </w:t>
      </w:r>
      <w:r>
        <w:rPr>
          <w:i/>
          <w:iCs/>
        </w:rPr>
        <w:t xml:space="preserve">Frontiers in Public Health</w:t>
      </w:r>
      <w:r>
        <w:t xml:space="preserve"> </w:t>
      </w:r>
      <w:r>
        <w:t xml:space="preserve">2024;12:1283148. doi:10.3389/fpubh.2024.1283148</w:t>
      </w:r>
    </w:p>
    <w:p>
      <w:pPr>
        <w:pStyle w:val="Compact"/>
        <w:numPr>
          <w:ilvl w:val="0"/>
          <w:numId w:val="1008"/>
        </w:numPr>
      </w:pPr>
      <w:r>
        <w:t xml:space="preserve">Odjidja EN, Christensen C, Gatasi G, et al. 2030 countdown to combating malnutrition in Burundi: comparison of proactive approaches for case detection and enrolment into treatment.</w:t>
      </w:r>
      <w:r>
        <w:t xml:space="preserve"> </w:t>
      </w:r>
      <w:r>
        <w:rPr>
          <w:i/>
          <w:iCs/>
        </w:rPr>
        <w:t xml:space="preserve">International Health</w:t>
      </w:r>
      <w:r>
        <w:t xml:space="preserve"> </w:t>
      </w:r>
      <w:r>
        <w:t xml:space="preserve">2022;14(4):413–420. PMID 32003813.</w:t>
      </w:r>
    </w:p>
    <w:p>
      <w:pPr>
        <w:pStyle w:val="Compact"/>
        <w:numPr>
          <w:ilvl w:val="0"/>
          <w:numId w:val="1008"/>
        </w:numPr>
      </w:pPr>
      <w:r>
        <w:t xml:space="preserve">Olofin I, McDonald CM, Ezzati M, et al. Associations of suboptimal growth with all-cause and cause-specific mortality in children under five years: a pooled analysis of ten prospective studies.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2013;8(5):e64636. PMID 23734210.</w:t>
      </w:r>
    </w:p>
    <w:p>
      <w:pPr>
        <w:pStyle w:val="Compact"/>
        <w:numPr>
          <w:ilvl w:val="0"/>
          <w:numId w:val="1008"/>
        </w:numPr>
      </w:pPr>
      <w:r>
        <w:t xml:space="preserve">Papadopoulou E, Lim YC, Chin WY, et al. Lay health workers in primary and community health care for maternal and child health: identification and treatment of wasting in children.</w:t>
      </w:r>
      <w:r>
        <w:t xml:space="preserve"> </w:t>
      </w:r>
      <w:r>
        <w:rPr>
          <w:i/>
          <w:iCs/>
        </w:rPr>
        <w:t xml:space="preserve">Cochrane Database of Systematic Reviews</w:t>
      </w:r>
      <w:r>
        <w:t xml:space="preserve"> </w:t>
      </w:r>
      <w:r>
        <w:t xml:space="preserve">2023;8:CD015311. doi:10.1002/14651858.CD015311. PMID 37646367.</w:t>
      </w:r>
    </w:p>
    <w:p>
      <w:pPr>
        <w:pStyle w:val="Compact"/>
        <w:numPr>
          <w:ilvl w:val="0"/>
          <w:numId w:val="1008"/>
        </w:numPr>
      </w:pPr>
      <w:r>
        <w:t xml:space="preserve">Park S. Addressing maternal mental health and child undernutrition in Nigeria through psychological support. AEA RCT Registry, trial 13766. Accessed September 2026.</w:t>
      </w:r>
    </w:p>
    <w:p>
      <w:pPr>
        <w:pStyle w:val="Compact"/>
        <w:numPr>
          <w:ilvl w:val="0"/>
          <w:numId w:val="1008"/>
        </w:numPr>
      </w:pPr>
      <w:r>
        <w:t xml:space="preserve">Park S, Zhao M, Ostrowski J. Can psychological support for caregivers improve child growth? Evidence from malnutrition treatment in Nigeria. Working paper, listed on the author’s website; accessed September 2026.</w:t>
      </w:r>
    </w:p>
    <w:p>
      <w:pPr>
        <w:pStyle w:val="Compact"/>
        <w:numPr>
          <w:ilvl w:val="0"/>
          <w:numId w:val="1008"/>
        </w:numPr>
      </w:pPr>
      <w:r>
        <w:t xml:space="preserve">Puett C, King S, Mama Chabi S, et al. The economic implications of relapse among children recovered from severe acute malnutrition: results from a multicountry prospective study in Mali, Somalia, and South Sudan.</w:t>
      </w:r>
      <w:r>
        <w:t xml:space="preserve"> </w:t>
      </w:r>
      <w:r>
        <w:rPr>
          <w:i/>
          <w:iCs/>
        </w:rPr>
        <w:t xml:space="preserve">Current Developments in Nutrition</w:t>
      </w:r>
      <w:r>
        <w:t xml:space="preserve"> </w:t>
      </w:r>
      <w:r>
        <w:t xml:space="preserve">2026;10(1):107616. doi:10.1016/j.cdnut.2025.107616</w:t>
      </w:r>
    </w:p>
    <w:p>
      <w:pPr>
        <w:pStyle w:val="Compact"/>
        <w:numPr>
          <w:ilvl w:val="0"/>
          <w:numId w:val="1008"/>
        </w:numPr>
      </w:pPr>
      <w:r>
        <w:t xml:space="preserve">Rogers E, Myatt M, Woodhead S, Guerrero S, Alvarez JL. Coverage of community-based management of severe acute malnutrition programmes in twenty-one countries, 2012–2013.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2015;10(6):e0128666.</w:t>
      </w:r>
    </w:p>
    <w:p>
      <w:pPr>
        <w:pStyle w:val="Compact"/>
        <w:numPr>
          <w:ilvl w:val="0"/>
          <w:numId w:val="1008"/>
        </w:numPr>
      </w:pPr>
      <w:r>
        <w:t xml:space="preserve">Rogers E, Guerrero S, Kumar D, et al. Evaluation of the cost-effectiveness of the treatment of uncomplicated severe acute malnutrition by lady health workers as compared to an outpatient therapeutic feeding programme in Sindh Province, Pakistan.</w:t>
      </w:r>
      <w:r>
        <w:t xml:space="preserve"> </w:t>
      </w:r>
      <w:r>
        <w:rPr>
          <w:i/>
          <w:iCs/>
        </w:rPr>
        <w:t xml:space="preserve">BMC Public Health</w:t>
      </w:r>
      <w:r>
        <w:t xml:space="preserve"> </w:t>
      </w:r>
      <w:r>
        <w:t xml:space="preserve">2019;19(1):84. PMID 30654780.</w:t>
      </w:r>
    </w:p>
    <w:p>
      <w:pPr>
        <w:pStyle w:val="Compact"/>
        <w:numPr>
          <w:ilvl w:val="0"/>
          <w:numId w:val="1008"/>
        </w:numPr>
      </w:pPr>
      <w:r>
        <w:t xml:space="preserve">Schoonees A, Lombard MJ, Musekiwa A, Nel E, Volmink J. Ready-to-use therapeutic food (RUTF) for home-based nutritional rehabilitation of severe acute malnutrition in children from six months to five years of age.</w:t>
      </w:r>
      <w:r>
        <w:t xml:space="preserve"> </w:t>
      </w:r>
      <w:r>
        <w:rPr>
          <w:i/>
          <w:iCs/>
        </w:rPr>
        <w:t xml:space="preserve">Cochrane Database of Systematic Reviews</w:t>
      </w:r>
      <w:r>
        <w:t xml:space="preserve"> </w:t>
      </w:r>
      <w:r>
        <w:t xml:space="preserve">2019;5:CD009000. PMID 31090070.</w:t>
      </w:r>
    </w:p>
    <w:p>
      <w:pPr>
        <w:pStyle w:val="Compact"/>
        <w:numPr>
          <w:ilvl w:val="0"/>
          <w:numId w:val="1008"/>
        </w:numPr>
      </w:pPr>
      <w:r>
        <w:t xml:space="preserve">Stobaugh HC, Bollinger LB, Adams SE, et al. Effect of a package of health and nutrition services on sustained recovery in children after moderate acute malnutrition and factors related to sustaining recovery: a cluster-randomized trial.</w:t>
      </w:r>
      <w:r>
        <w:t xml:space="preserve"> </w:t>
      </w:r>
      <w:r>
        <w:rPr>
          <w:i/>
          <w:iCs/>
        </w:rPr>
        <w:t xml:space="preserve">American Journal of Clinical Nutrition</w:t>
      </w:r>
      <w:r>
        <w:t xml:space="preserve"> </w:t>
      </w:r>
      <w:r>
        <w:t xml:space="preserve">2017;106(2):657–666. doi:10.3945/ajcn.116.149799</w:t>
      </w:r>
    </w:p>
    <w:p>
      <w:pPr>
        <w:pStyle w:val="Compact"/>
        <w:numPr>
          <w:ilvl w:val="0"/>
          <w:numId w:val="1008"/>
        </w:numPr>
      </w:pPr>
      <w:r>
        <w:t xml:space="preserve">Stobaugh HC, Mayberry A, McGrath M, et al. Relapse after severe acute malnutrition: a systematic literature review and secondary data analysis.</w:t>
      </w:r>
      <w:r>
        <w:t xml:space="preserve"> </w:t>
      </w:r>
      <w:r>
        <w:rPr>
          <w:i/>
          <w:iCs/>
        </w:rPr>
        <w:t xml:space="preserve">Maternal &amp; Child Nutrition</w:t>
      </w:r>
      <w:r>
        <w:t xml:space="preserve"> </w:t>
      </w:r>
      <w:r>
        <w:t xml:space="preserve">2019;15(2):e12702. doi:10.1111/mcn.12702</w:t>
      </w:r>
    </w:p>
    <w:p>
      <w:pPr>
        <w:pStyle w:val="Compact"/>
        <w:numPr>
          <w:ilvl w:val="0"/>
          <w:numId w:val="1008"/>
        </w:numPr>
      </w:pPr>
      <w:r>
        <w:t xml:space="preserve">UNICEF, World Health Organization, World Bank Group.</w:t>
      </w:r>
      <w:r>
        <w:t xml:space="preserve"> </w:t>
      </w:r>
      <w:r>
        <w:rPr>
          <w:i/>
          <w:iCs/>
        </w:rPr>
        <w:t xml:space="preserve">Levels and trends in child malnutrition: Joint Child Malnutrition Estimates</w:t>
      </w:r>
      <w:r>
        <w:t xml:space="preserve">, 2025 edition.</w:t>
      </w:r>
    </w:p>
    <w:p>
      <w:pPr>
        <w:pStyle w:val="Compact"/>
        <w:numPr>
          <w:ilvl w:val="0"/>
          <w:numId w:val="1008"/>
        </w:numPr>
      </w:pPr>
      <w:r>
        <w:t xml:space="preserve">World Bank.</w:t>
      </w:r>
      <w:r>
        <w:t xml:space="preserve"> </w:t>
      </w:r>
      <w:r>
        <w:rPr>
          <w:i/>
          <w:iCs/>
        </w:rPr>
        <w:t xml:space="preserve">World Development Indicators</w:t>
      </w:r>
      <w:r>
        <w:t xml:space="preserve">, prevalence of wasting (SH.STA.WAST.ZS). Accessed September 2026.</w:t>
      </w:r>
    </w:p>
    <w:p>
      <w:pPr>
        <w:pStyle w:val="Compact"/>
        <w:numPr>
          <w:ilvl w:val="0"/>
          <w:numId w:val="1008"/>
        </w:numPr>
      </w:pPr>
      <w:r>
        <w:t xml:space="preserve">World Health Organization.</w:t>
      </w:r>
      <w:r>
        <w:t xml:space="preserve"> </w:t>
      </w:r>
      <w:r>
        <w:rPr>
          <w:i/>
          <w:iCs/>
        </w:rPr>
        <w:t xml:space="preserve">WHO guideline on the prevention and management of wasting and nutritional oedema (acute malnutrition) in infants and children under 5 years.</w:t>
      </w:r>
      <w:r>
        <w:t xml:space="preserve"> </w:t>
      </w:r>
      <w:r>
        <w:t xml:space="preserve">Geneva: WHO, 2023.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before="0" w:line="276" w:lineRule="auto"/>
    </w:pPr>
    <w:rPr>
      <w:rFonts w:ascii="Cambria" w:cs="Cambria" w:eastAsia="Cambria" w:hAnsi="Cambria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40" w:before="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/>
      <w:pBdr>
        <w:bottom w:color="12495B" w:space="6" w:sz="12" w:val="single"/>
      </w:pBdr>
    </w:pPr>
    <w:rPr>
      <w:rFonts w:ascii="Calibri" w:cs="Calibri" w:eastAsia="Calibri" w:hAnsi="Calibri"/>
      <w:b/>
      <w:color w:val="12495B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240" w:before="0"/>
    </w:pPr>
    <w:rPr>
      <w:rFonts w:ascii="Calibri" w:cs="Calibri" w:eastAsia="Calibri" w:hAnsi="Calibri"/>
      <w:color w:val="1F6B7B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20"/>
      <w:outlineLvl w:val="0"/>
    </w:pPr>
    <w:rPr>
      <w:rFonts w:ascii="Calibri" w:cs="Calibri" w:eastAsia="Calibri" w:hAnsi="Calibri"/>
      <w:b/>
      <w:color w:val="12495B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Calibri" w:cs="Calibri" w:eastAsia="Calibri" w:hAnsi="Calibri"/>
      <w:b/>
      <w:color w:val="1F6B7B"/>
      <w:sz w:val="27"/>
      <w:szCs w:val="27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Calibri" w:cs="Calibri" w:eastAsia="Calibri" w:hAnsi="Calibri"/>
      <w:b/>
      <w:color w:val="3D4A52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90" w:before="220"/>
      <w:outlineLvl w:val="3"/>
    </w:pPr>
    <w:rPr>
      <w:rFonts w:ascii="Calibri" w:cs="Calibri" w:eastAsia="Calibri" w:hAnsi="Calibri"/>
      <w:b/>
      <w:color w:val="3D4A52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top w:color="C9D6DB" w:space="8" w:sz="4" w:val="single"/>
        <w:left w:color="1F6B7B" w:space="10" w:sz="18" w:val="single"/>
        <w:bottom w:color="C9D6DB" w:space="8" w:sz="4" w:val="single"/>
        <w:right w:color="C9D6DB" w:space="8" w:sz="4" w:val="single"/>
      </w:pBdr>
      <w:shd w:color="auto" w:fill="F2F7F9" w:val="clear"/>
      <w:spacing w:after="160" w:before="160" w:line="264" w:lineRule="auto"/>
      <w:ind w:left="0" w:right="0"/>
    </w:pPr>
    <w:rPr>
      <w:rFonts w:ascii="Cambria" w:cs="Cambria" w:eastAsia="Cambria" w:hAnsi="Cambria"/>
      <w:color w:val="1A1A1A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Table" w:type="table">
    <w:name w:val="Table"/>
    <w:uiPriority w:val="99"/>
    <w:pPr>
      <w:spacing w:after="40" w:before="40" w:line="240" w:lineRule="auto"/>
    </w:pPr>
    <w:rPr>
      <w:rFonts w:ascii="Cambria" w:cs="Cambria" w:eastAsia="Cambria" w:hAnsi="Cambria"/>
      <w:sz w:val="19"/>
      <w:szCs w:val="19"/>
    </w:rPr>
    <w:tblPr>
      <w:tblBorders>
        <w:top w:color="C9D6DB" w:space="0" w:sz="4" w:val="single"/>
        <w:left w:color="C9D6DB" w:space="0" w:sz="4" w:val="single"/>
        <w:bottom w:color="C9D6DB" w:space="0" w:sz="4" w:val="single"/>
        <w:right w:color="C9D6DB" w:space="0" w:sz="4" w:val="single"/>
        <w:insideH w:color="C9D6DB" w:space="0" w:sz="4" w:val="single"/>
        <w:insideV w:color="C9D6DB" w:space="0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  <w:color w:val="12495B"/>
      </w:rPr>
      <w:tcPr>
        <w:shd w:color="auto" w:fill="E4EDF1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Treating Child Wasting at Scale</dc:title>
  <dc:creator/>
  <cp:keywords/>
  <dcterms:created xsi:type="dcterms:W3CDTF">2026-09-28T17:11:40Z</dcterms:created>
  <dcterms:modified xsi:type="dcterms:W3CDTF">2026-09-28T17:11:40Z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2 — September 2026</vt:lpwstr>
  </property>
  <property fmtid="{D5CDD505-2E9C-101B-9397-08002B2CF9AE}" pid="3" name="subtitle">
    <vt:lpwstr>Evidence to inform a ScaleWorks programme for community-based management of acute malnutrition</vt:lpwstr>
  </property>
</Properties>
</file>